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6F6E" w14:textId="6386A9C8" w:rsidR="00C9208F" w:rsidRPr="00AB49D1" w:rsidRDefault="00BC4B75" w:rsidP="00AB49D1">
      <w:pPr>
        <w:spacing w:before="100" w:beforeAutospacing="1" w:after="100" w:afterAutospacing="1"/>
        <w:jc w:val="center"/>
        <w:rPr>
          <w:rFonts w:ascii="Century Gothic" w:hAnsi="Century Gothic" w:cs="Segoe UI"/>
          <w:b/>
          <w:color w:val="000000" w:themeColor="text1"/>
          <w:sz w:val="32"/>
          <w:szCs w:val="32"/>
        </w:rPr>
      </w:pP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PORTARIA</w:t>
      </w:r>
      <w:r w:rsidR="00C9208F"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Nº</w:t>
      </w:r>
      <w:r w:rsidR="00773552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0</w:t>
      </w:r>
      <w:r w:rsidR="00A91BAF">
        <w:rPr>
          <w:rFonts w:ascii="Century Gothic" w:hAnsi="Century Gothic" w:cs="Segoe UI"/>
          <w:b/>
          <w:color w:val="000000" w:themeColor="text1"/>
          <w:sz w:val="32"/>
          <w:szCs w:val="32"/>
        </w:rPr>
        <w:t>5</w:t>
      </w:r>
      <w:r w:rsidR="00C9208F"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, DE </w:t>
      </w:r>
      <w:r w:rsidR="00A91BAF">
        <w:rPr>
          <w:rFonts w:ascii="Century Gothic" w:hAnsi="Century Gothic" w:cs="Segoe UI"/>
          <w:b/>
          <w:color w:val="000000" w:themeColor="text1"/>
          <w:sz w:val="32"/>
          <w:szCs w:val="32"/>
        </w:rPr>
        <w:t>15</w:t>
      </w:r>
      <w:r w:rsidR="00AB49D1"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DE </w:t>
      </w:r>
      <w:r w:rsidR="00A91BAF">
        <w:rPr>
          <w:rFonts w:ascii="Century Gothic" w:hAnsi="Century Gothic" w:cs="Segoe UI"/>
          <w:b/>
          <w:color w:val="000000" w:themeColor="text1"/>
          <w:sz w:val="32"/>
          <w:szCs w:val="32"/>
        </w:rPr>
        <w:t>FEVEREIRO</w:t>
      </w:r>
      <w:r w:rsidR="00AB49D1"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DE </w:t>
      </w:r>
      <w:proofErr w:type="gramStart"/>
      <w:r w:rsidR="00AB49D1"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>202</w:t>
      </w:r>
      <w:r w:rsidR="00A91BAF">
        <w:rPr>
          <w:rFonts w:ascii="Century Gothic" w:hAnsi="Century Gothic" w:cs="Segoe UI"/>
          <w:b/>
          <w:color w:val="000000" w:themeColor="text1"/>
          <w:sz w:val="32"/>
          <w:szCs w:val="32"/>
        </w:rPr>
        <w:t>4</w:t>
      </w:r>
      <w:proofErr w:type="gramEnd"/>
    </w:p>
    <w:p w14:paraId="211497E1" w14:textId="43ADCBC2" w:rsidR="00DA4885" w:rsidRPr="00380743" w:rsidRDefault="00AB49D1" w:rsidP="00AB49D1">
      <w:pPr>
        <w:pStyle w:val="textbody"/>
        <w:ind w:left="3969"/>
        <w:jc w:val="both"/>
        <w:rPr>
          <w:rFonts w:ascii="Century Gothic" w:hAnsi="Century Gothic" w:cs="Segoe UI"/>
          <w:color w:val="000000" w:themeColor="text1"/>
          <w:sz w:val="18"/>
          <w:szCs w:val="18"/>
        </w:rPr>
      </w:pP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“Dispõe sobre a elaboração dos Estudos Técnicos Pr</w:t>
      </w: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e</w:t>
      </w: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liminares - ETP - para a aquisição de bens e a contr</w:t>
      </w: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a</w:t>
      </w: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tação de serviços, </w:t>
      </w:r>
      <w:r w:rsidR="00BC4B75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no âmbito da Câmara Municipal</w:t>
      </w:r>
      <w:r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e dá outras providências”</w:t>
      </w:r>
      <w:r w:rsidR="00C015AC" w:rsidRPr="00380743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.</w:t>
      </w:r>
    </w:p>
    <w:p w14:paraId="3E4462EC" w14:textId="18710EEB" w:rsidR="001A4FE8" w:rsidRPr="00380743" w:rsidRDefault="00BC4B75" w:rsidP="001A4FE8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O Presidente da Câmara Municipal de </w:t>
      </w:r>
      <w:r w:rsidR="007A450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Argirita</w:t>
      </w:r>
      <w:r w:rsidR="00C9208F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, </w:t>
      </w:r>
      <w:r w:rsidR="00AB49D1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E</w:t>
      </w:r>
      <w:r w:rsidR="00C9208F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stado de Minas Gerais, </w:t>
      </w:r>
      <w:r w:rsidR="00AB49D1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no uso de suas atribuições legais</w:t>
      </w:r>
      <w:r w:rsidR="00C9208F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, especialmente as que lhe confere a Lei Orgânica Municipal</w:t>
      </w:r>
      <w:r w:rsidR="00AB49D1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e tendo em vista o disposto na Lei Federal nº 14.133/2021,</w:t>
      </w:r>
    </w:p>
    <w:p w14:paraId="7D3C7730" w14:textId="340D8636" w:rsidR="001A4FE8" w:rsidRPr="00380743" w:rsidRDefault="0063324B" w:rsidP="001A4FE8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>
        <w:rPr>
          <w:rFonts w:ascii="Century Gothic" w:eastAsiaTheme="minorEastAsia" w:hAnsi="Century Gothic" w:cs="Segoe UI"/>
          <w:b/>
          <w:bCs/>
          <w:i/>
          <w:iCs/>
          <w:color w:val="000000" w:themeColor="text1"/>
          <w:sz w:val="22"/>
          <w:szCs w:val="22"/>
          <w:u w:val="single"/>
        </w:rPr>
        <w:t>RESOLVE</w:t>
      </w:r>
      <w:r w:rsidR="00AB49D1" w:rsidRPr="00380743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:</w:t>
      </w:r>
    </w:p>
    <w:p w14:paraId="205B1353" w14:textId="77777777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CAPÍTULO I</w:t>
      </w:r>
    </w:p>
    <w:p w14:paraId="02300A56" w14:textId="77777777" w:rsidR="001A4FE8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Disposições Preliminares</w:t>
      </w:r>
    </w:p>
    <w:p w14:paraId="3A242F70" w14:textId="77777777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Objeto e âmbito de aplicação</w:t>
      </w:r>
    </w:p>
    <w:p w14:paraId="58825BAA" w14:textId="30680EDA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1º - </w:t>
      </w:r>
      <w:r w:rsidR="00BC4B75">
        <w:rPr>
          <w:rFonts w:ascii="Century Gothic" w:hAnsi="Century Gothic"/>
          <w:sz w:val="22"/>
          <w:szCs w:val="22"/>
        </w:rPr>
        <w:t>Esta Portaria</w:t>
      </w:r>
      <w:r w:rsidRPr="00380743">
        <w:rPr>
          <w:rFonts w:ascii="Century Gothic" w:hAnsi="Century Gothic"/>
          <w:sz w:val="22"/>
          <w:szCs w:val="22"/>
        </w:rPr>
        <w:t xml:space="preserve"> regulamenta a elaboração dos Estudos Técnicos Preliminares - ETP - para a aquisição de bens e a contratação de serviços, </w:t>
      </w:r>
      <w:r w:rsidR="00BC4B75">
        <w:rPr>
          <w:rFonts w:ascii="Century Gothic" w:hAnsi="Century Gothic"/>
          <w:sz w:val="22"/>
          <w:szCs w:val="22"/>
        </w:rPr>
        <w:t>no âmbito da Câmara Municipal</w:t>
      </w:r>
      <w:r w:rsidRPr="00380743">
        <w:rPr>
          <w:rFonts w:ascii="Century Gothic" w:hAnsi="Century Gothic"/>
          <w:sz w:val="22"/>
          <w:szCs w:val="22"/>
        </w:rPr>
        <w:t xml:space="preserve">. </w:t>
      </w:r>
    </w:p>
    <w:p w14:paraId="136C1720" w14:textId="0312D93E" w:rsidR="001A4FE8" w:rsidRPr="00380743" w:rsidRDefault="00656410" w:rsidP="001A4FE8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2º - </w:t>
      </w:r>
      <w:r w:rsidR="00AB49D1" w:rsidRPr="00380743">
        <w:rPr>
          <w:rFonts w:ascii="Century Gothic" w:hAnsi="Century Gothic"/>
          <w:sz w:val="22"/>
          <w:szCs w:val="22"/>
        </w:rPr>
        <w:t xml:space="preserve">Na </w:t>
      </w:r>
      <w:r w:rsidRPr="00380743">
        <w:rPr>
          <w:rFonts w:ascii="Century Gothic" w:hAnsi="Century Gothic"/>
          <w:sz w:val="22"/>
          <w:szCs w:val="22"/>
        </w:rPr>
        <w:t>execu</w:t>
      </w:r>
      <w:r w:rsidR="00AB49D1" w:rsidRPr="00380743">
        <w:rPr>
          <w:rFonts w:ascii="Century Gothic" w:hAnsi="Century Gothic"/>
          <w:sz w:val="22"/>
          <w:szCs w:val="22"/>
        </w:rPr>
        <w:t xml:space="preserve">ção de atividades com </w:t>
      </w:r>
      <w:r w:rsidRPr="00380743">
        <w:rPr>
          <w:rFonts w:ascii="Century Gothic" w:hAnsi="Century Gothic"/>
          <w:sz w:val="22"/>
          <w:szCs w:val="22"/>
        </w:rPr>
        <w:t>recursos</w:t>
      </w:r>
      <w:r w:rsidR="00AB49D1" w:rsidRPr="00380743">
        <w:rPr>
          <w:rFonts w:ascii="Century Gothic" w:hAnsi="Century Gothic"/>
          <w:sz w:val="22"/>
          <w:szCs w:val="22"/>
        </w:rPr>
        <w:t xml:space="preserve"> repassados</w:t>
      </w:r>
      <w:r w:rsidRPr="00380743">
        <w:rPr>
          <w:rFonts w:ascii="Century Gothic" w:hAnsi="Century Gothic"/>
          <w:sz w:val="22"/>
          <w:szCs w:val="22"/>
        </w:rPr>
        <w:t>, deverão observar as regras vigentes que regulamentam o respectivo procedimento, exceto nos casos em que a lei, a regulamentação específica ou o termo de transferência dispuser de forma diversa sobre as contratações com os recursos do</w:t>
      </w:r>
      <w:r w:rsidR="00AB49D1" w:rsidRPr="00380743">
        <w:rPr>
          <w:rFonts w:ascii="Century Gothic" w:hAnsi="Century Gothic"/>
          <w:sz w:val="22"/>
          <w:szCs w:val="22"/>
        </w:rPr>
        <w:t xml:space="preserve"> respectivo</w:t>
      </w:r>
      <w:r w:rsidRPr="00380743">
        <w:rPr>
          <w:rFonts w:ascii="Century Gothic" w:hAnsi="Century Gothic"/>
          <w:sz w:val="22"/>
          <w:szCs w:val="22"/>
        </w:rPr>
        <w:t xml:space="preserve"> repasse.</w:t>
      </w:r>
    </w:p>
    <w:p w14:paraId="2BC7CA1A" w14:textId="77777777" w:rsidR="001A4FE8" w:rsidRPr="00380743" w:rsidRDefault="00656410" w:rsidP="001A4FE8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Definições</w:t>
      </w:r>
    </w:p>
    <w:p w14:paraId="2410F7F7" w14:textId="3EA06ECF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3º - Para fins deste REGULAMENTO, considera-se: </w:t>
      </w:r>
    </w:p>
    <w:p w14:paraId="7EAD64E7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 - Área Solicitante: unidade administrativa que possua uma demanda, necessidade ou problema a ser analisado; </w:t>
      </w:r>
    </w:p>
    <w:p w14:paraId="168D9F5C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 - Área de Contratação: unidade administrativa com competência para planejar, coordenar, supervisionar e executar as atividades relacionadas aos processos de contratação; </w:t>
      </w:r>
    </w:p>
    <w:p w14:paraId="45EDD62F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III - Área Técnica: unidade administrativa responsável pelo planejamento, coordenação, gestão e acompanhamento das ações relacionadas ao tema ao qual a demanda apresentada pela área solicitante esteja associada, podendo também atuar com área solicitante; </w:t>
      </w:r>
    </w:p>
    <w:p w14:paraId="4C30E523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IV - Contratações correlatas: aquelas cujos objetos sejam similares ou correspondentes entre si. </w:t>
      </w:r>
    </w:p>
    <w:p w14:paraId="692C4210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 - Contratações interdependentes: aquelas cuja execução da contratação tratada poderá afetar ou ser afetada por outras contratações da Administração Pública; </w:t>
      </w:r>
    </w:p>
    <w:p w14:paraId="6722E411" w14:textId="1133B72C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lastRenderedPageBreak/>
        <w:t>VI - Equipe de Planejamento da Contratação: conjunto de integrantes das áreas solicitante</w:t>
      </w:r>
      <w:r w:rsidR="002634DD">
        <w:rPr>
          <w:rFonts w:ascii="Century Gothic" w:hAnsi="Century Gothic"/>
          <w:sz w:val="22"/>
          <w:szCs w:val="22"/>
        </w:rPr>
        <w:t>s</w:t>
      </w:r>
      <w:r w:rsidRPr="00380743">
        <w:rPr>
          <w:rFonts w:ascii="Century Gothic" w:hAnsi="Century Gothic"/>
          <w:sz w:val="22"/>
          <w:szCs w:val="22"/>
        </w:rPr>
        <w:t xml:space="preserve">, técnica e de contratação, indicados pela autoridade competente das respectivas unidades, observados os requisitos previstos no art. </w:t>
      </w:r>
      <w:r w:rsidR="00AB49D1" w:rsidRPr="00380743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>7º, da Lei nº</w:t>
      </w:r>
      <w:r w:rsidR="002634DD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 xml:space="preserve">14.133, de 1º de abril de 2021, e que reúnem as competências necessárias à execução das etapas de planejamento da contratação, com conhecimentos sobre aspectos técnicos e de uso do objeto, licitações e contratos, dentre outros; </w:t>
      </w:r>
    </w:p>
    <w:p w14:paraId="14AA38CA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VII - Estudo Técnico Preliminar - ETP: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contratação; </w:t>
      </w:r>
    </w:p>
    <w:p w14:paraId="65BBAEA6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VIII – Licitações desertas: aquelas em que não surgiram licitantes interessados;</w:t>
      </w:r>
    </w:p>
    <w:p w14:paraId="574ADE0A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IX – Licitações fracassadas: </w:t>
      </w:r>
    </w:p>
    <w:p w14:paraId="5F5DB14E" w14:textId="77777777" w:rsidR="00AB49D1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a) aquelas em que não foram apresentadas propostas válidas; ou </w:t>
      </w:r>
    </w:p>
    <w:p w14:paraId="423D5856" w14:textId="77777777" w:rsidR="001A4FE8" w:rsidRPr="00380743" w:rsidRDefault="00656410" w:rsidP="001A4FE8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b) aquelas em as propostas apresentadas consignaram preços manifestamente superiores aos praticados no mercado ou incompatíveis com os fixados pelos órgãos oficiais competentes.</w:t>
      </w:r>
    </w:p>
    <w:p w14:paraId="158A5D9A" w14:textId="77777777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CAPÍTULO II</w:t>
      </w:r>
    </w:p>
    <w:p w14:paraId="2618ECB7" w14:textId="77777777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Elaboração Diretrizes Gerais</w:t>
      </w:r>
    </w:p>
    <w:p w14:paraId="1DFA0FB2" w14:textId="05E7BBB6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4º - As licitações para aquisições de bens e para a contratação de prestação de serviços, bem como as contratações diretas, deverão ser precedidas de estudo técnico preliminar. </w:t>
      </w:r>
    </w:p>
    <w:p w14:paraId="2BEB7101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Parágrafo único – Na instrução da fase preparatória, a elaboração do ETP poderá, mediante justificativa, ser: </w:t>
      </w:r>
    </w:p>
    <w:p w14:paraId="790DE175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 - facultada nas hipóteses de: </w:t>
      </w:r>
    </w:p>
    <w:p w14:paraId="26B461F7" w14:textId="2AD7EAF4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a) contratação direta, que compreende os casos de inexigibilidade e dispensa de licitação, nos termos do inciso I, do art. 72, da Lei nº</w:t>
      </w:r>
      <w:r w:rsidR="00B91262" w:rsidRPr="00380743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 xml:space="preserve">14.133, de 1º de abril de 2021, em especial nos casos de: </w:t>
      </w:r>
    </w:p>
    <w:p w14:paraId="50624F30" w14:textId="6684B270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1. contratações por dispensa em função do valor, conforme os incisos I e II do art. 75 da Lei nº 14.133, de 1º de abril de 2021; </w:t>
      </w:r>
    </w:p>
    <w:p w14:paraId="0177B4C7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2. licitações desertas ou fracassadas, conforme inciso III do art. 75 da Lei nº 14.133, de 1º de abril de 2021; </w:t>
      </w:r>
    </w:p>
    <w:p w14:paraId="0BD4A796" w14:textId="170E1A7B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3. casos de guerra, estado de defesa, estado de sítio, intervenção federal</w:t>
      </w:r>
      <w:r w:rsidR="002634DD">
        <w:rPr>
          <w:rFonts w:ascii="Century Gothic" w:hAnsi="Century Gothic"/>
          <w:sz w:val="22"/>
          <w:szCs w:val="22"/>
        </w:rPr>
        <w:t xml:space="preserve">, intervenção estadual </w:t>
      </w:r>
      <w:r w:rsidRPr="00380743">
        <w:rPr>
          <w:rFonts w:ascii="Century Gothic" w:hAnsi="Century Gothic"/>
          <w:sz w:val="22"/>
          <w:szCs w:val="22"/>
        </w:rPr>
        <w:t xml:space="preserve">ou de grave perturbação da ordem, conforme inciso VII do art. 75 da Lei nº 14.133, de 1º de abril de 2021; e </w:t>
      </w:r>
    </w:p>
    <w:p w14:paraId="14399921" w14:textId="1560A8B6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lastRenderedPageBreak/>
        <w:t>4. emergência ou calamidade pública, conforme inciso VIII do art. 75 da Lei nº</w:t>
      </w:r>
      <w:r w:rsidR="003A7A7B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 xml:space="preserve">14.133, de 1º de abril de 2021; </w:t>
      </w:r>
    </w:p>
    <w:p w14:paraId="1C64C237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b) contratação de licitante remanescente nos termos do § 7º do art. 90 da Lei 14.133 de 1º de abril de 2021; </w:t>
      </w:r>
    </w:p>
    <w:p w14:paraId="7DFDD4D3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c) possiblidade de utilização de ETP de procedimentos anteriores, cujas soluções atendam à necessidade atual; </w:t>
      </w:r>
    </w:p>
    <w:p w14:paraId="157BB658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d) soluções submetidas a procedimentos de padronização ou que constem em catálogo eletrônico de padronização de compras e serviços; </w:t>
      </w:r>
    </w:p>
    <w:p w14:paraId="4932DE86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 – dispensável nas hipóteses: </w:t>
      </w:r>
    </w:p>
    <w:p w14:paraId="0460CB8D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a) em que o ETP tenha sido elaborado por unidade responsável pela realização de procedimentos de licitações e contratações em benefício de outros órgãos e entidades; </w:t>
      </w:r>
    </w:p>
    <w:p w14:paraId="54F94085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b) de contratação de serviços comuns de engenharia quando demonstrada a inexistência de prejuízo para a aferição dos padrões de desempenho e qualidade almejados, casos em que a especificação do objeto poderá ser realizada apenas em termo de referência ou projeto básico, conforme disposto no §3º do Artigo 18 da Lei Federal nº. 14.133/2021. </w:t>
      </w:r>
    </w:p>
    <w:p w14:paraId="513F8573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5º - O ETP deverá ser elaborado conjuntamente por integrantes das áreas solicitante e técnica ou, quando houver necessidade, pela equipe de planejamento da contratação e será aprovado pela autoridade competente ou por quem receber delegação para exercer esta atribuição. </w:t>
      </w:r>
    </w:p>
    <w:p w14:paraId="786D6571" w14:textId="77777777" w:rsidR="00B91262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§1º - Os integrantes das áreas técnica e solicitante, ou a equipe de planejamento da contratação, quando for o caso, considerando a complexidade do problema a ser analisado no ETP, poderão solicitar apoio técnico de colaboradores de outras unidades, órgãos ou entidades que detenham competências específicas exigidas para a confecção do documento.</w:t>
      </w:r>
    </w:p>
    <w:p w14:paraId="404F5B43" w14:textId="77777777" w:rsidR="001A4FE8" w:rsidRPr="00380743" w:rsidRDefault="00656410" w:rsidP="001A4FE8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§2º - Nos casos em que o órgão ou entidade não possuir quadro de colaboradores suficientes ou aptos, inviabilizando a elaboração conjunta do ETP, será permitida sua confecção de forma individual ou a contratação de terceiro, profissional especializado que preste assessoria técnica, e que auxilie na elaboração do instrumento, observados os impedimentos dispostos no art. 9º da Lei nº 14.133, de 2021, e desde que devidamente justificada a circunstância.</w:t>
      </w:r>
    </w:p>
    <w:p w14:paraId="60621B8C" w14:textId="77777777" w:rsidR="009A1879" w:rsidRPr="00380743" w:rsidRDefault="00656410" w:rsidP="009A1879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Conteúdo</w:t>
      </w:r>
    </w:p>
    <w:p w14:paraId="093F15AD" w14:textId="6A447C51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6º - O estudo técnico preliminar buscará a melhor solução identificada dentre as possíveis, de modo a permitir a avaliação acerca da viabilidade técnica e econômica da contratação e conterá os seguintes elementos: </w:t>
      </w:r>
    </w:p>
    <w:p w14:paraId="3708FADF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lastRenderedPageBreak/>
        <w:t xml:space="preserve">I - descrição da necessidade da contratação, considerado o problema a ser resolvido sob a perspectiva do interesse público; </w:t>
      </w:r>
    </w:p>
    <w:p w14:paraId="366A7297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 - demonstração da previsão da contratação no plano de contratações anual, sempre que elaborado, ou desde que justificada a impossibilidade, de modo a indicar o seu alinhamento com os instrumentos de planejamento do órgão ou entidade; </w:t>
      </w:r>
    </w:p>
    <w:p w14:paraId="55178F3E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III - descrição dos requisitos da contratação necessários e suficientes à escolha da solução</w:t>
      </w:r>
      <w:r w:rsidR="004A3C90" w:rsidRPr="00380743">
        <w:rPr>
          <w:rFonts w:ascii="Century Gothic" w:hAnsi="Century Gothic"/>
          <w:sz w:val="22"/>
          <w:szCs w:val="22"/>
        </w:rPr>
        <w:t>;</w:t>
      </w:r>
    </w:p>
    <w:p w14:paraId="2148142F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IV - estimativas das quantidades a serem contratadas, acompanhadas das memórias de cálculo e dos documentos que lhe dão suporte, que considerem interdependências com outras contratações, de modo a possibilitar economia de escala; </w:t>
      </w:r>
    </w:p>
    <w:p w14:paraId="24846565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 - levantamento de mercado, que consiste na análise das alternativas possíveis, e justificativa técnica e econômica da escolha do tipo de solução a contratar, podendo, entre outras opções: </w:t>
      </w:r>
    </w:p>
    <w:p w14:paraId="5FD39C1D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a) ser consideradas contratações similares feitas por outros órgãos e entidades, com objetivo de identificar a existência de novas metodologias, tecnologias e inovações que melhor atendam às necessidades da Administração; </w:t>
      </w:r>
    </w:p>
    <w:p w14:paraId="5D5F675F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b) ser realizada audiência ou consulta pública, preferencialmente na forma eletrônica, para coleta de contribuições</w:t>
      </w:r>
      <w:r w:rsidR="004A3C90" w:rsidRPr="00380743">
        <w:rPr>
          <w:rFonts w:ascii="Century Gothic" w:hAnsi="Century Gothic"/>
          <w:sz w:val="22"/>
          <w:szCs w:val="22"/>
        </w:rPr>
        <w:t>;</w:t>
      </w:r>
    </w:p>
    <w:p w14:paraId="159D5807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 </w:t>
      </w:r>
    </w:p>
    <w:p w14:paraId="460572DB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VII - descrição da solução como um todo, inclusive das exigências relacionadas à manutenção e à assistência técnica, quando for o caso; </w:t>
      </w:r>
    </w:p>
    <w:p w14:paraId="509C8F2E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VIII - justificativas para o parcelamento ou não da solução; </w:t>
      </w:r>
    </w:p>
    <w:p w14:paraId="7445BA42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IX - demonstrativo dos resultados pretendidos, em termos de economicidade e de melhor aproveitamento dos recursos humanos, materiais e financeiros disponíveis; </w:t>
      </w:r>
    </w:p>
    <w:p w14:paraId="61BE065B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X - providências a serem adotadas pela Administração previamente à celebração do contrato, inclusive quanto à capacitação de servidores ou de empregados para fiscalização e gestão contratual; </w:t>
      </w:r>
    </w:p>
    <w:p w14:paraId="6A20EE50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XI - contratações correlatas e/ou interdependentes; </w:t>
      </w:r>
    </w:p>
    <w:p w14:paraId="5ACBD198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XII - descrição de possíveis impactos ambientais e respectivas medidas mitigadoras, incluídos requisitos de baixo consumo de energia e de outros </w:t>
      </w:r>
      <w:r w:rsidRPr="00380743">
        <w:rPr>
          <w:rFonts w:ascii="Century Gothic" w:hAnsi="Century Gothic"/>
          <w:sz w:val="22"/>
          <w:szCs w:val="22"/>
        </w:rPr>
        <w:lastRenderedPageBreak/>
        <w:t xml:space="preserve">recursos, bem como logística reversa para desfazimento e reciclagem de bens e refugos, quando aplicável; e </w:t>
      </w:r>
    </w:p>
    <w:p w14:paraId="75822CDD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XIII - posicionamento conclusivo sobre a adequação da contratação para o atendimento da necessidade a que se destina. </w:t>
      </w:r>
    </w:p>
    <w:p w14:paraId="0610530F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§1º - O ETP deverá conter ao menos os elementos previstos nos incisos I, IV, V, VI, VII, VIII e XIII do caput deste artigo, e quando não contemplar os demais elementos, apresentar as devidas justificativas. </w:t>
      </w:r>
    </w:p>
    <w:p w14:paraId="6050BE82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§2º - Na elaboração do ETP, sempre que possível, dever-se-á levar em consideração o histórico de licitações, inclusive as desertas ou frustradas, e contratações anteriores com objeto semelhante, aferindo-se e sanando-se, de antemão, eventuais questões controversas, erros ou incongruências do procedimento</w:t>
      </w:r>
      <w:r w:rsidR="004A3C90" w:rsidRPr="00380743">
        <w:rPr>
          <w:rFonts w:ascii="Century Gothic" w:hAnsi="Century Gothic"/>
          <w:sz w:val="22"/>
          <w:szCs w:val="22"/>
        </w:rPr>
        <w:t>.</w:t>
      </w:r>
    </w:p>
    <w:p w14:paraId="40DDC3ED" w14:textId="77777777" w:rsidR="004A3C90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§3º - Caso, após o levantamento do mercado de que trata o inciso V, a quantidade de fornecedores for considerada restrita, deve-se verificar se os requisitos que limitam a participação são realmente indispensáveis, flexibilizando-os sempre que possível. </w:t>
      </w:r>
    </w:p>
    <w:p w14:paraId="41FF5745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§4º - Na elaboração do ETP, deverá ser analisada a existência de riscos que possam comprometer a definição da solução mais adequada ou sua futura implementação e, caso existentes, deverão ser registradas possíveis ações que possam mitigá-los</w:t>
      </w:r>
      <w:r w:rsidR="001A4FE8" w:rsidRPr="00380743">
        <w:rPr>
          <w:rFonts w:ascii="Century Gothic" w:hAnsi="Century Gothic"/>
          <w:sz w:val="22"/>
          <w:szCs w:val="22"/>
        </w:rPr>
        <w:t>.</w:t>
      </w:r>
    </w:p>
    <w:p w14:paraId="2321818E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§5º - Havendo demonstração no ETP de que não há prejuízos à competitividade do processo licitatório e à eficiência do respectivo contrato, o edital poderá prever a utilização de mão de obra, materiais, tecnologias e matérias-primas existentes no local da execução, conservação e operação do bem ou serviço, nos termos do § 2º do art. 25 da Lei 14.133, de 1º de abril de 2021. </w:t>
      </w:r>
    </w:p>
    <w:p w14:paraId="173C758D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§6º - Conforme o § 1º do art. 36 da Lei nº 14.133, de 1º de abril de 2021, quando o estudo técnico preliminar demonstrar que a avaliação e a ponderação da qualidade técnica de propostas que superarem os requisitos mínimos exigidos são relevantes aos fins pretendidos pela Administração, deverá ser escolhido o critério de julgamento por técnica e preço. </w:t>
      </w:r>
    </w:p>
    <w:p w14:paraId="26F94EC1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§7º - Desde que fundamentado no ETP, poderá ser exigido que os serviços de manutenção e assistência técnica, de que trata o inciso VII do caput, sejam prestados mediante deslocamento de técnico ou disponibilizados em unidade de prestação de serviços localizada em distância compatível com suas necessidades, conforme dispõe o § 4º do art. 40 da Lei nº 14.133, de 1º de abril de 2021. </w:t>
      </w:r>
    </w:p>
    <w:p w14:paraId="398C7445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7º A justificativa técnica e econômica da escolha do tipo de solução de que trata o inciso V, do art. 6º, será orientada por uma análise comparativa entre as soluções identificadas, a partir dos seguintes critérios, sem prejuízo de outros relevantes para o objeto em análise: </w:t>
      </w:r>
    </w:p>
    <w:p w14:paraId="4F4E2979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lastRenderedPageBreak/>
        <w:t xml:space="preserve">I - vantajosidade econômica, preferencialmente pela comparação do custo total das soluções propostas e da solução atual, quando for o caso; </w:t>
      </w:r>
    </w:p>
    <w:p w14:paraId="1D9F8BCD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 - ganhos de eficiência administrativa, pela economia de tempo, de recursos materiais e de pessoal; </w:t>
      </w:r>
    </w:p>
    <w:p w14:paraId="30769304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III - continuidade sustentável do modelo de fornecimento do bem ou da prestação de serviço para a administração; </w:t>
      </w:r>
    </w:p>
    <w:p w14:paraId="2ECAADAB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IV - sustentabilidade social e ambiental, por meio da consideração de objetivos secundários da política de compras públicas; </w:t>
      </w:r>
    </w:p>
    <w:p w14:paraId="1B22B0E9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 - incorporação de tecnologias que permitam ganhos de eficiência, exatidão, segurança, transparência, impessoalidade, padronização ou controle; </w:t>
      </w:r>
    </w:p>
    <w:p w14:paraId="1ED29421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 - possibilidade de compra ou de locação de bens, a </w:t>
      </w:r>
      <w:proofErr w:type="gramStart"/>
      <w:r w:rsidRPr="00380743">
        <w:rPr>
          <w:rFonts w:ascii="Century Gothic" w:hAnsi="Century Gothic"/>
          <w:sz w:val="22"/>
          <w:szCs w:val="22"/>
        </w:rPr>
        <w:t>ser</w:t>
      </w:r>
      <w:proofErr w:type="gramEnd"/>
      <w:r w:rsidRPr="00380743">
        <w:rPr>
          <w:rFonts w:ascii="Century Gothic" w:hAnsi="Century Gothic"/>
          <w:sz w:val="22"/>
          <w:szCs w:val="22"/>
        </w:rPr>
        <w:t xml:space="preserve"> avaliados os custos e os benefícios de cada opção para escolha da alternativa mais vantajosa;</w:t>
      </w:r>
    </w:p>
    <w:p w14:paraId="2979BF8C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VII - opções menos onerosas à Administração, tais como chamamentos públicos de doação e permutas. </w:t>
      </w:r>
    </w:p>
    <w:p w14:paraId="0FEBA116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8º A elaboração do ETP deverá considerar a complexidade do problema analisado, devendo-se evitar o aporte de conteúdos com a finalidade única de simples cumprimento de exigências procedimentais. </w:t>
      </w:r>
    </w:p>
    <w:p w14:paraId="5A796A8F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9º Ao final da elaboração do ETP, deve-se avaliar a necessidade de </w:t>
      </w:r>
      <w:r w:rsidR="001A4FE8" w:rsidRPr="00380743">
        <w:rPr>
          <w:rFonts w:ascii="Century Gothic" w:hAnsi="Century Gothic"/>
          <w:sz w:val="22"/>
          <w:szCs w:val="22"/>
        </w:rPr>
        <w:t>classificá-lo</w:t>
      </w:r>
      <w:r w:rsidRPr="00380743">
        <w:rPr>
          <w:rFonts w:ascii="Century Gothic" w:hAnsi="Century Gothic"/>
          <w:sz w:val="22"/>
          <w:szCs w:val="22"/>
        </w:rPr>
        <w:t xml:space="preserve"> nos termos da Lei de Acesso à Informação, Lei nº 12.527, de 18 de novembro de 2011. </w:t>
      </w:r>
    </w:p>
    <w:p w14:paraId="4F51E0F8" w14:textId="61EAD90A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CAPÍTULO III</w:t>
      </w:r>
    </w:p>
    <w:p w14:paraId="42DE14D7" w14:textId="09954DFC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Disposições Finais</w:t>
      </w:r>
    </w:p>
    <w:p w14:paraId="0CEA2E92" w14:textId="3C7DF496" w:rsidR="001A4FE8" w:rsidRPr="00380743" w:rsidRDefault="00656410" w:rsidP="001A4FE8">
      <w:pPr>
        <w:jc w:val="center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Orientações </w:t>
      </w:r>
      <w:r w:rsidR="009A1879" w:rsidRPr="00380743">
        <w:rPr>
          <w:rFonts w:ascii="Century Gothic" w:hAnsi="Century Gothic"/>
          <w:sz w:val="22"/>
          <w:szCs w:val="22"/>
        </w:rPr>
        <w:t>G</w:t>
      </w:r>
      <w:r w:rsidRPr="00380743">
        <w:rPr>
          <w:rFonts w:ascii="Century Gothic" w:hAnsi="Century Gothic"/>
          <w:sz w:val="22"/>
          <w:szCs w:val="22"/>
        </w:rPr>
        <w:t>erais</w:t>
      </w:r>
    </w:p>
    <w:p w14:paraId="36C93362" w14:textId="361B6ADC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Art. 10</w:t>
      </w:r>
      <w:r w:rsidR="001A4FE8" w:rsidRPr="00380743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 xml:space="preserve">As situações previstas </w:t>
      </w:r>
      <w:r w:rsidR="00BC4B75" w:rsidRPr="00380743">
        <w:rPr>
          <w:rFonts w:ascii="Century Gothic" w:hAnsi="Century Gothic"/>
          <w:sz w:val="22"/>
          <w:szCs w:val="22"/>
        </w:rPr>
        <w:t>n</w:t>
      </w:r>
      <w:r w:rsidR="00BC4B75">
        <w:rPr>
          <w:rFonts w:ascii="Century Gothic" w:hAnsi="Century Gothic"/>
          <w:sz w:val="22"/>
          <w:szCs w:val="22"/>
        </w:rPr>
        <w:t>esta Portaria</w:t>
      </w:r>
      <w:r w:rsidRPr="00380743">
        <w:rPr>
          <w:rFonts w:ascii="Century Gothic" w:hAnsi="Century Gothic"/>
          <w:sz w:val="22"/>
          <w:szCs w:val="22"/>
        </w:rPr>
        <w:t xml:space="preserve"> que demandem justificativas, deverão atentar-se aos requisitos de congruência, exatidão, coerência, suficiência e clareza. </w:t>
      </w:r>
    </w:p>
    <w:p w14:paraId="229F388F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Parágrafo único - Não se considera fundamentada a justificativa ou decisão que: </w:t>
      </w:r>
    </w:p>
    <w:p w14:paraId="0B31575C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 - se limitar à indicação, à reprodução ou à paráfrase de ato normativo, sem explicar sua relação com o caso concreto; </w:t>
      </w:r>
    </w:p>
    <w:p w14:paraId="01A4AA70" w14:textId="77777777" w:rsidR="001A4FE8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II - empregar conceitos jurídicos indeterminados, sem explicar o motivo concreto de sua incidência no caso; </w:t>
      </w:r>
    </w:p>
    <w:p w14:paraId="0D085594" w14:textId="77777777" w:rsidR="009A1879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>III - invocar motivos que se prestariam a justificar qualquer outra decisão.</w:t>
      </w:r>
    </w:p>
    <w:p w14:paraId="62C39BC7" w14:textId="4985A965" w:rsidR="009A1879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11 </w:t>
      </w:r>
      <w:r w:rsidR="00667B19">
        <w:rPr>
          <w:rFonts w:ascii="Century Gothic" w:hAnsi="Century Gothic"/>
          <w:sz w:val="22"/>
          <w:szCs w:val="22"/>
        </w:rPr>
        <w:t>A Autoridade do Órgão Competente</w:t>
      </w:r>
      <w:r w:rsidRPr="00380743">
        <w:rPr>
          <w:rFonts w:ascii="Century Gothic" w:hAnsi="Century Gothic"/>
          <w:sz w:val="22"/>
          <w:szCs w:val="22"/>
        </w:rPr>
        <w:t xml:space="preserve"> poderá expedir orientações complementares, solucionar casos omissos, disponibilizar materiais de apoio e </w:t>
      </w:r>
      <w:r w:rsidRPr="00380743">
        <w:rPr>
          <w:rFonts w:ascii="Century Gothic" w:hAnsi="Century Gothic"/>
          <w:sz w:val="22"/>
          <w:szCs w:val="22"/>
        </w:rPr>
        <w:lastRenderedPageBreak/>
        <w:t xml:space="preserve">instituir modelos padronizados de documentos para a execução dos procedimentos de que trata </w:t>
      </w:r>
      <w:r w:rsidR="00BC4B75">
        <w:rPr>
          <w:rFonts w:ascii="Century Gothic" w:hAnsi="Century Gothic"/>
          <w:sz w:val="22"/>
          <w:szCs w:val="22"/>
        </w:rPr>
        <w:t>essa Portaria</w:t>
      </w:r>
      <w:r w:rsidRPr="00380743">
        <w:rPr>
          <w:rFonts w:ascii="Century Gothic" w:hAnsi="Century Gothic"/>
          <w:sz w:val="22"/>
          <w:szCs w:val="22"/>
        </w:rPr>
        <w:t xml:space="preserve">. </w:t>
      </w:r>
    </w:p>
    <w:p w14:paraId="31DA3B80" w14:textId="1A7BAF4E" w:rsidR="009A1879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Parágrafo único – A </w:t>
      </w:r>
      <w:r w:rsidR="00667B19">
        <w:rPr>
          <w:rFonts w:ascii="Century Gothic" w:hAnsi="Century Gothic"/>
          <w:sz w:val="22"/>
          <w:szCs w:val="22"/>
        </w:rPr>
        <w:t>Autoridade do Órgão Competente</w:t>
      </w:r>
      <w:r w:rsidR="009A1879" w:rsidRPr="00380743">
        <w:rPr>
          <w:rFonts w:ascii="Century Gothic" w:hAnsi="Century Gothic"/>
          <w:sz w:val="22"/>
          <w:szCs w:val="22"/>
        </w:rPr>
        <w:t xml:space="preserve"> </w:t>
      </w:r>
      <w:r w:rsidRPr="00380743">
        <w:rPr>
          <w:rFonts w:ascii="Century Gothic" w:hAnsi="Century Gothic"/>
          <w:sz w:val="22"/>
          <w:szCs w:val="22"/>
        </w:rPr>
        <w:t xml:space="preserve">poderá adotar solução de tecnologia da informação e comunicação para apoiar a execução dos procedimentos de que trata </w:t>
      </w:r>
      <w:r w:rsidR="00BC4B75">
        <w:rPr>
          <w:rFonts w:ascii="Century Gothic" w:hAnsi="Century Gothic"/>
          <w:sz w:val="22"/>
          <w:szCs w:val="22"/>
        </w:rPr>
        <w:t>essa Portaria</w:t>
      </w:r>
      <w:r w:rsidRPr="00380743">
        <w:rPr>
          <w:rFonts w:ascii="Century Gothic" w:hAnsi="Century Gothic"/>
          <w:sz w:val="22"/>
          <w:szCs w:val="22"/>
        </w:rPr>
        <w:t xml:space="preserve">. </w:t>
      </w:r>
    </w:p>
    <w:p w14:paraId="1EAF5087" w14:textId="3C07315C" w:rsidR="009A1879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12 </w:t>
      </w:r>
      <w:r w:rsidR="009A1879" w:rsidRPr="00380743">
        <w:rPr>
          <w:rFonts w:ascii="Century Gothic" w:hAnsi="Century Gothic"/>
          <w:sz w:val="22"/>
          <w:szCs w:val="22"/>
        </w:rPr>
        <w:t>–</w:t>
      </w:r>
      <w:r w:rsidRPr="00380743">
        <w:rPr>
          <w:rFonts w:ascii="Century Gothic" w:hAnsi="Century Gothic"/>
          <w:sz w:val="22"/>
          <w:szCs w:val="22"/>
        </w:rPr>
        <w:t xml:space="preserve"> </w:t>
      </w:r>
      <w:r w:rsidR="009A1879" w:rsidRPr="00380743">
        <w:rPr>
          <w:rFonts w:ascii="Century Gothic" w:hAnsi="Century Gothic"/>
          <w:sz w:val="22"/>
          <w:szCs w:val="22"/>
        </w:rPr>
        <w:t xml:space="preserve">Os demais </w:t>
      </w:r>
      <w:r w:rsidR="00BC4B75">
        <w:rPr>
          <w:rFonts w:ascii="Century Gothic" w:hAnsi="Century Gothic"/>
          <w:sz w:val="22"/>
          <w:szCs w:val="22"/>
        </w:rPr>
        <w:t>setores da Câmara Municipal</w:t>
      </w:r>
      <w:r w:rsidR="009A1879" w:rsidRPr="00380743">
        <w:rPr>
          <w:rFonts w:ascii="Century Gothic" w:hAnsi="Century Gothic"/>
          <w:sz w:val="22"/>
          <w:szCs w:val="22"/>
        </w:rPr>
        <w:t xml:space="preserve"> deverão</w:t>
      </w:r>
      <w:r w:rsidRPr="00380743">
        <w:rPr>
          <w:rFonts w:ascii="Century Gothic" w:hAnsi="Century Gothic"/>
          <w:sz w:val="22"/>
          <w:szCs w:val="22"/>
        </w:rPr>
        <w:t xml:space="preserve"> garantir apoio técnico e capacitação aos responsáveis pela elaboração do ETP.</w:t>
      </w:r>
    </w:p>
    <w:p w14:paraId="4E7A6774" w14:textId="77777777" w:rsidR="009A1879" w:rsidRPr="00380743" w:rsidRDefault="00656410" w:rsidP="00AB49D1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Vigência </w:t>
      </w:r>
    </w:p>
    <w:p w14:paraId="104D2627" w14:textId="77777777" w:rsidR="00F23DB9" w:rsidRDefault="00656410" w:rsidP="00F23DB9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80743">
        <w:rPr>
          <w:rFonts w:ascii="Century Gothic" w:hAnsi="Century Gothic"/>
          <w:sz w:val="22"/>
          <w:szCs w:val="22"/>
        </w:rPr>
        <w:t xml:space="preserve">Art. 13 - </w:t>
      </w:r>
      <w:r w:rsidR="00F23DB9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Esta Portaria</w:t>
      </w:r>
      <w:r w:rsidR="00F23DB9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entra em vigor na data de sua publicação</w:t>
      </w:r>
      <w:r w:rsidR="00F23DB9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, retroagindo seus efeitos a partir de 1º de Janeiro de 2024.</w:t>
      </w:r>
    </w:p>
    <w:p w14:paraId="7ABD627B" w14:textId="77777777" w:rsidR="00F23DB9" w:rsidRPr="004817D4" w:rsidRDefault="00F23DB9" w:rsidP="00F23DB9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</w:p>
    <w:p w14:paraId="4E78115A" w14:textId="77777777" w:rsidR="00F23DB9" w:rsidRDefault="00F23DB9" w:rsidP="00F23DB9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Argirita</w:t>
      </w:r>
      <w:r w:rsidRPr="004817D4">
        <w:rPr>
          <w:rFonts w:ascii="Century Gothic" w:hAnsi="Century Gothic"/>
          <w:sz w:val="22"/>
          <w:szCs w:val="22"/>
        </w:rPr>
        <w:t xml:space="preserve">, </w:t>
      </w:r>
      <w:r w:rsidRPr="00073C0C">
        <w:rPr>
          <w:rFonts w:ascii="Century Gothic" w:hAnsi="Century Gothic"/>
          <w:sz w:val="22"/>
          <w:szCs w:val="22"/>
        </w:rPr>
        <w:t>15 de Fevereiro de 202</w:t>
      </w:r>
      <w:r>
        <w:rPr>
          <w:rFonts w:ascii="Century Gothic" w:hAnsi="Century Gothic"/>
          <w:sz w:val="22"/>
          <w:szCs w:val="22"/>
        </w:rPr>
        <w:t>4</w:t>
      </w:r>
      <w:r w:rsidRPr="004817D4">
        <w:rPr>
          <w:rFonts w:ascii="Century Gothic" w:hAnsi="Century Gothic"/>
          <w:sz w:val="22"/>
          <w:szCs w:val="22"/>
        </w:rPr>
        <w:t>.</w:t>
      </w:r>
    </w:p>
    <w:p w14:paraId="6F3E8F85" w14:textId="77777777" w:rsidR="00F23DB9" w:rsidRPr="004817D4" w:rsidRDefault="00F23DB9" w:rsidP="00F23DB9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</w:p>
    <w:p w14:paraId="4E14DBC0" w14:textId="77777777" w:rsidR="00F23DB9" w:rsidRDefault="00F23DB9" w:rsidP="00F23DB9">
      <w:pPr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REGINALDO CARMINATE ALMEIDA</w:t>
      </w:r>
    </w:p>
    <w:p w14:paraId="113F2719" w14:textId="77777777" w:rsidR="00F23DB9" w:rsidRPr="004817D4" w:rsidRDefault="00F23DB9" w:rsidP="00F23DB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b/>
          <w:sz w:val="22"/>
          <w:szCs w:val="22"/>
        </w:rPr>
        <w:t>PRESIDENTE DA CÂMARA MUNICIPAL</w:t>
      </w:r>
    </w:p>
    <w:p w14:paraId="2B093BE5" w14:textId="1508DE84" w:rsidR="009A1879" w:rsidRPr="00AB49D1" w:rsidRDefault="009A1879" w:rsidP="00F23DB9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A1879" w:rsidRPr="00AB49D1" w:rsidSect="00C14138">
      <w:headerReference w:type="default" r:id="rId8"/>
      <w:pgSz w:w="11907" w:h="16840"/>
      <w:pgMar w:top="226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67D2" w14:textId="77777777" w:rsidR="00BF2530" w:rsidRDefault="00BF2530">
      <w:r>
        <w:separator/>
      </w:r>
    </w:p>
  </w:endnote>
  <w:endnote w:type="continuationSeparator" w:id="0">
    <w:p w14:paraId="087203E3" w14:textId="77777777" w:rsidR="00BF2530" w:rsidRDefault="00B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0C8E" w14:textId="77777777" w:rsidR="00BF2530" w:rsidRDefault="00BF2530">
      <w:r>
        <w:rPr>
          <w:color w:val="000000"/>
        </w:rPr>
        <w:separator/>
      </w:r>
    </w:p>
  </w:footnote>
  <w:footnote w:type="continuationSeparator" w:id="0">
    <w:p w14:paraId="1AC946C2" w14:textId="77777777" w:rsidR="00BF2530" w:rsidRDefault="00BF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441F" w14:textId="77777777" w:rsidR="00A91BAF" w:rsidRDefault="00A91BAF" w:rsidP="00A91BAF">
    <w:pPr>
      <w:pStyle w:val="Standard"/>
      <w:jc w:val="center"/>
    </w:pPr>
    <w:bookmarkStart w:id="1" w:name="_Hlk124859568"/>
    <w:bookmarkStart w:id="2" w:name="_Hlk124859569"/>
  </w:p>
  <w:p w14:paraId="001E30EF" w14:textId="77777777" w:rsidR="00A91BAF" w:rsidRDefault="00A91BAF" w:rsidP="00A91BAF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0DF75" wp14:editId="6579839D">
          <wp:simplePos x="0" y="0"/>
          <wp:positionH relativeFrom="column">
            <wp:posOffset>-343082</wp:posOffset>
          </wp:positionH>
          <wp:positionV relativeFrom="paragraph">
            <wp:posOffset>-343082</wp:posOffset>
          </wp:positionV>
          <wp:extent cx="1024201" cy="893515"/>
          <wp:effectExtent l="0" t="0" r="4499" b="1835"/>
          <wp:wrapTight wrapText="bothSides">
            <wp:wrapPolygon edited="0">
              <wp:start x="0" y="0"/>
              <wp:lineTo x="0" y="21186"/>
              <wp:lineTo x="21305" y="21186"/>
              <wp:lineTo x="21305" y="0"/>
              <wp:lineTo x="0" y="0"/>
            </wp:wrapPolygon>
          </wp:wrapTight>
          <wp:docPr id="1" name="Imagem 2" descr="tr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0988"/>
                  <a:stretch>
                    <a:fillRect/>
                  </a:stretch>
                </pic:blipFill>
                <pic:spPr>
                  <a:xfrm>
                    <a:off x="0" y="0"/>
                    <a:ext cx="1024201" cy="89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CÂMARA MUNICIPAL DE ARGIRITA</w:t>
    </w:r>
  </w:p>
  <w:p w14:paraId="2147E1DF" w14:textId="77777777" w:rsidR="00A91BAF" w:rsidRDefault="00A91BAF" w:rsidP="00A91BAF">
    <w:pPr>
      <w:pStyle w:val="Standard"/>
      <w:jc w:val="center"/>
    </w:pPr>
    <w:r>
      <w:t xml:space="preserve">                  Praça </w:t>
    </w:r>
    <w:proofErr w:type="spellStart"/>
    <w:r>
      <w:t>Catulino</w:t>
    </w:r>
    <w:proofErr w:type="spellEnd"/>
    <w:r>
      <w:t xml:space="preserve"> Vasconcelos, 422–Centro–Argirita– MG – CEP: 36710-000      Telefone: (32) 3445-</w:t>
    </w:r>
    <w:proofErr w:type="gramStart"/>
    <w:r>
      <w:t>1584</w:t>
    </w:r>
    <w:proofErr w:type="gramEnd"/>
  </w:p>
  <w:p w14:paraId="59088889" w14:textId="5FE90D56" w:rsidR="00423104" w:rsidRDefault="00423104" w:rsidP="009A1879">
    <w:pPr>
      <w:ind w:right="-676"/>
      <w:rPr>
        <w:rFonts w:ascii="Arial" w:hAnsi="Arial" w:cs="Arial"/>
        <w:b/>
        <w:color w:val="008000"/>
        <w:spacing w:val="7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05D"/>
    <w:multiLevelType w:val="multilevel"/>
    <w:tmpl w:val="C1ECF25C"/>
    <w:styleLink w:val="LFO9"/>
    <w:lvl w:ilvl="0">
      <w:start w:val="1"/>
      <w:numFmt w:val="decimal"/>
      <w:pStyle w:val="Normalnumerado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3247743"/>
    <w:multiLevelType w:val="multilevel"/>
    <w:tmpl w:val="4F6E7D3E"/>
    <w:lvl w:ilvl="0">
      <w:start w:val="1"/>
      <w:numFmt w:val="decimal"/>
      <w:lvlText w:val="%1."/>
      <w:lvlJc w:val="left"/>
      <w:pPr>
        <w:ind w:left="2628" w:hanging="360"/>
      </w:pPr>
      <w:rPr>
        <w:b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ascii="Segoe UI" w:hAnsi="Segoe UI" w:cs="Segoe UI"/>
        <w:sz w:val="24"/>
        <w:szCs w:val="24"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3348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708" w:hanging="144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68" w:hanging="1800"/>
      </w:pPr>
    </w:lvl>
    <w:lvl w:ilvl="8">
      <w:start w:val="1"/>
      <w:numFmt w:val="decimal"/>
      <w:lvlText w:val="%1.%2.%3.%4.%5.%6.%7.%8.%9."/>
      <w:lvlJc w:val="left"/>
      <w:pPr>
        <w:ind w:left="4068" w:hanging="1800"/>
      </w:pPr>
    </w:lvl>
  </w:abstractNum>
  <w:abstractNum w:abstractNumId="2">
    <w:nsid w:val="7AD92380"/>
    <w:multiLevelType w:val="hybridMultilevel"/>
    <w:tmpl w:val="3AC4DC98"/>
    <w:lvl w:ilvl="0" w:tplc="732015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4"/>
    <w:rsid w:val="00004F30"/>
    <w:rsid w:val="000151FD"/>
    <w:rsid w:val="000514A3"/>
    <w:rsid w:val="000953C2"/>
    <w:rsid w:val="000A3ACA"/>
    <w:rsid w:val="0014570A"/>
    <w:rsid w:val="00170D87"/>
    <w:rsid w:val="001A4FE8"/>
    <w:rsid w:val="0020294A"/>
    <w:rsid w:val="00207BFB"/>
    <w:rsid w:val="00216095"/>
    <w:rsid w:val="00242BF3"/>
    <w:rsid w:val="00256803"/>
    <w:rsid w:val="002634DD"/>
    <w:rsid w:val="00266EED"/>
    <w:rsid w:val="002B6B6F"/>
    <w:rsid w:val="00314A78"/>
    <w:rsid w:val="00353C19"/>
    <w:rsid w:val="00380743"/>
    <w:rsid w:val="0039327D"/>
    <w:rsid w:val="003A7A7B"/>
    <w:rsid w:val="00423104"/>
    <w:rsid w:val="00452EA1"/>
    <w:rsid w:val="0047333E"/>
    <w:rsid w:val="00484B82"/>
    <w:rsid w:val="004A3C90"/>
    <w:rsid w:val="004C0A81"/>
    <w:rsid w:val="004F5492"/>
    <w:rsid w:val="004F769F"/>
    <w:rsid w:val="00500907"/>
    <w:rsid w:val="005135FC"/>
    <w:rsid w:val="005971B4"/>
    <w:rsid w:val="00601548"/>
    <w:rsid w:val="00605E63"/>
    <w:rsid w:val="00616A0A"/>
    <w:rsid w:val="00617647"/>
    <w:rsid w:val="0063324B"/>
    <w:rsid w:val="006505A7"/>
    <w:rsid w:val="00656410"/>
    <w:rsid w:val="00661AA6"/>
    <w:rsid w:val="00667B19"/>
    <w:rsid w:val="006A6274"/>
    <w:rsid w:val="006F097B"/>
    <w:rsid w:val="006F23DC"/>
    <w:rsid w:val="007503BF"/>
    <w:rsid w:val="00757764"/>
    <w:rsid w:val="00773552"/>
    <w:rsid w:val="007A450C"/>
    <w:rsid w:val="007A66B4"/>
    <w:rsid w:val="007A7C7A"/>
    <w:rsid w:val="007F2535"/>
    <w:rsid w:val="007F67E5"/>
    <w:rsid w:val="008928A4"/>
    <w:rsid w:val="008A4902"/>
    <w:rsid w:val="008B7971"/>
    <w:rsid w:val="008D58C7"/>
    <w:rsid w:val="008D6BC2"/>
    <w:rsid w:val="00923995"/>
    <w:rsid w:val="00936496"/>
    <w:rsid w:val="00956F8A"/>
    <w:rsid w:val="009630DE"/>
    <w:rsid w:val="009A1879"/>
    <w:rsid w:val="009C24F4"/>
    <w:rsid w:val="00A119C1"/>
    <w:rsid w:val="00A17256"/>
    <w:rsid w:val="00A41737"/>
    <w:rsid w:val="00A70F73"/>
    <w:rsid w:val="00A7328D"/>
    <w:rsid w:val="00A7794F"/>
    <w:rsid w:val="00A91BAF"/>
    <w:rsid w:val="00AA49A5"/>
    <w:rsid w:val="00AB49D1"/>
    <w:rsid w:val="00AE64EC"/>
    <w:rsid w:val="00AF35A1"/>
    <w:rsid w:val="00B45DDF"/>
    <w:rsid w:val="00B501C4"/>
    <w:rsid w:val="00B70842"/>
    <w:rsid w:val="00B7181C"/>
    <w:rsid w:val="00B91262"/>
    <w:rsid w:val="00BC4B75"/>
    <w:rsid w:val="00BE1435"/>
    <w:rsid w:val="00BE3627"/>
    <w:rsid w:val="00BF2427"/>
    <w:rsid w:val="00BF2530"/>
    <w:rsid w:val="00C015AC"/>
    <w:rsid w:val="00C04145"/>
    <w:rsid w:val="00C14138"/>
    <w:rsid w:val="00C20A33"/>
    <w:rsid w:val="00C9208F"/>
    <w:rsid w:val="00CA46BA"/>
    <w:rsid w:val="00CE15FE"/>
    <w:rsid w:val="00CE5748"/>
    <w:rsid w:val="00CE6CD0"/>
    <w:rsid w:val="00CF5243"/>
    <w:rsid w:val="00D15628"/>
    <w:rsid w:val="00D16003"/>
    <w:rsid w:val="00D1676D"/>
    <w:rsid w:val="00D75F53"/>
    <w:rsid w:val="00D92BBA"/>
    <w:rsid w:val="00D94558"/>
    <w:rsid w:val="00DA1955"/>
    <w:rsid w:val="00DA4885"/>
    <w:rsid w:val="00DA7ED3"/>
    <w:rsid w:val="00DD6E0A"/>
    <w:rsid w:val="00E138D5"/>
    <w:rsid w:val="00E419DC"/>
    <w:rsid w:val="00E9051A"/>
    <w:rsid w:val="00EB0E87"/>
    <w:rsid w:val="00EB7956"/>
    <w:rsid w:val="00EF7CA6"/>
    <w:rsid w:val="00F23DB9"/>
    <w:rsid w:val="00F45207"/>
    <w:rsid w:val="00F57DB5"/>
    <w:rsid w:val="00F76029"/>
    <w:rsid w:val="00FB1AB0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ind w:left="354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Bookman Old Style" w:hAnsi="Bookman Old Style"/>
      <w:i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uppressAutoHyphens w:val="0"/>
      <w:textAlignment w:val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uppressAutoHyphens w:val="0"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rPr>
      <w:rFonts w:ascii="Bookman Old Style" w:hAnsi="Bookman Old Style"/>
      <w:i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b/>
      <w:bCs/>
      <w:sz w:val="24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19">
    <w:name w:val="p1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ind w:right="51"/>
      <w:jc w:val="both"/>
    </w:pPr>
    <w:rPr>
      <w:rFonts w:ascii="Bookman Old Style" w:hAnsi="Bookman Old Style"/>
      <w:sz w:val="24"/>
      <w:szCs w:val="24"/>
    </w:rPr>
  </w:style>
  <w:style w:type="character" w:customStyle="1" w:styleId="Corpodetexto2Char">
    <w:name w:val="Corpo de texto 2 Char"/>
    <w:rPr>
      <w:rFonts w:ascii="Bookman Old Style" w:hAnsi="Bookman Old Style"/>
      <w:sz w:val="24"/>
      <w:szCs w:val="24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rPr>
      <w:rFonts w:ascii="Arial" w:hAnsi="Arial"/>
      <w:b/>
      <w:sz w:val="24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color w:val="0000FF"/>
      <w:sz w:val="24"/>
      <w:szCs w:val="24"/>
      <w:lang w:eastAsia="ar-SA"/>
    </w:rPr>
  </w:style>
  <w:style w:type="character" w:styleId="nfaseSutil">
    <w:name w:val="Subtle Emphasis"/>
    <w:rPr>
      <w:i/>
      <w:iCs/>
      <w:color w:val="80808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ahoma" w:hAnsi="Tahoma"/>
      <w:sz w:val="28"/>
    </w:rPr>
  </w:style>
  <w:style w:type="paragraph" w:styleId="Textodebalo">
    <w:name w:val="Balloon Text"/>
    <w:basedOn w:val="Normal"/>
    <w:pPr>
      <w:suppressAutoHyphens w:val="0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Padro">
    <w:name w:val="Padrão"/>
    <w:rPr>
      <w:sz w:val="24"/>
      <w:lang w:eastAsia="pt-BR"/>
    </w:rPr>
  </w:style>
  <w:style w:type="paragraph" w:customStyle="1" w:styleId="SUB-TI">
    <w:name w:val="SUB-TI"/>
    <w:pPr>
      <w:autoSpaceDE w:val="0"/>
      <w:spacing w:before="113"/>
      <w:jc w:val="center"/>
    </w:pPr>
    <w:rPr>
      <w:rFonts w:ascii="Arial" w:hAnsi="Arial" w:cs="Arial"/>
      <w:b/>
      <w:bCs/>
      <w:sz w:val="28"/>
      <w:szCs w:val="28"/>
      <w:lang w:eastAsia="pt-BR"/>
    </w:rPr>
  </w:style>
  <w:style w:type="paragraph" w:styleId="Corpodetexto3">
    <w:name w:val="Body Text 3"/>
    <w:basedOn w:val="Normal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styleId="Recuodecorpodetexto3">
    <w:name w:val="Body Text Indent 3"/>
    <w:basedOn w:val="Normal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paragraph" w:styleId="Ttulo">
    <w:name w:val="Title"/>
    <w:basedOn w:val="Normal"/>
    <w:uiPriority w:val="10"/>
    <w:qFormat/>
    <w:pPr>
      <w:suppressAutoHyphens w:val="0"/>
      <w:jc w:val="center"/>
      <w:textAlignment w:val="auto"/>
    </w:pPr>
    <w:rPr>
      <w:b/>
      <w:bCs/>
      <w:sz w:val="24"/>
    </w:rPr>
  </w:style>
  <w:style w:type="character" w:customStyle="1" w:styleId="TtuloChar">
    <w:name w:val="Título Char"/>
    <w:rPr>
      <w:b/>
      <w:bCs/>
      <w:sz w:val="24"/>
    </w:rPr>
  </w:style>
  <w:style w:type="paragraph" w:styleId="Recuodecorpodetexto2">
    <w:name w:val="Body Text Indent 2"/>
    <w:basedOn w:val="Normal"/>
    <w:pPr>
      <w:suppressAutoHyphens w:val="0"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paragraph" w:styleId="TextosemFormatao">
    <w:name w:val="Plain Text"/>
    <w:basedOn w:val="Normal"/>
    <w:pPr>
      <w:suppressAutoHyphens w:val="0"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CharChar9">
    <w:name w:val="Char Char9"/>
    <w:rPr>
      <w:rFonts w:ascii="Courier New" w:hAnsi="Courier New"/>
      <w:b/>
      <w:sz w:val="28"/>
      <w:lang w:val="pt-BR" w:eastAsia="pt-BR"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CharChar4">
    <w:name w:val="Char Char4"/>
    <w:rPr>
      <w:rFonts w:ascii="Tahoma" w:hAnsi="Tahoma" w:cs="Tahoma"/>
      <w:b/>
      <w:sz w:val="24"/>
      <w:lang w:bidi="ar-SA"/>
    </w:rPr>
  </w:style>
  <w:style w:type="character" w:customStyle="1" w:styleId="SubttuloChar">
    <w:name w:val="Subtítulo Char"/>
    <w:rPr>
      <w:rFonts w:ascii="Cambria" w:hAnsi="Cambria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uppressAutoHyphens w:val="0"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sz w:val="24"/>
      <w:szCs w:val="24"/>
    </w:rPr>
  </w:style>
  <w:style w:type="character" w:customStyle="1" w:styleId="CharChar5">
    <w:name w:val="Char Char5"/>
    <w:rPr>
      <w:lang w:val="pt-BR" w:eastAsia="pt-BR" w:bidi="ar-SA"/>
    </w:rPr>
  </w:style>
  <w:style w:type="paragraph" w:customStyle="1" w:styleId="WW-Corpodetexto3">
    <w:name w:val="WW-Corpo de texto 3"/>
    <w:basedOn w:val="Normal"/>
    <w:pPr>
      <w:jc w:val="both"/>
      <w:textAlignment w:val="auto"/>
    </w:pPr>
    <w:rPr>
      <w:rFonts w:ascii="MS Mincho" w:hAnsi="MS Mincho"/>
      <w:color w:val="000000"/>
      <w:sz w:val="24"/>
    </w:rPr>
  </w:style>
  <w:style w:type="paragraph" w:customStyle="1" w:styleId="WW-Corpodetexto2">
    <w:name w:val="WW-Corpo de texto 2"/>
    <w:basedOn w:val="Normal"/>
    <w:pPr>
      <w:widowControl w:val="0"/>
      <w:tabs>
        <w:tab w:val="left" w:pos="720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tedodatabela">
    <w:name w:val="Conteúdo da tabela"/>
    <w:basedOn w:val="Corpodetexto"/>
    <w:pPr>
      <w:spacing w:after="0"/>
      <w:jc w:val="both"/>
      <w:textAlignment w:val="auto"/>
    </w:pPr>
    <w:rPr>
      <w:rFonts w:ascii="Bookman Old Style" w:hAnsi="Bookman Old Style"/>
      <w:color w:val="000000"/>
      <w:sz w:val="22"/>
    </w:rPr>
  </w:style>
  <w:style w:type="paragraph" w:styleId="Textoembloco">
    <w:name w:val="Block Text"/>
    <w:basedOn w:val="Normal"/>
    <w:pPr>
      <w:suppressAutoHyphens w:val="0"/>
      <w:ind w:left="851" w:right="474" w:firstLine="1701"/>
      <w:jc w:val="both"/>
      <w:textAlignment w:val="auto"/>
    </w:pPr>
    <w:rPr>
      <w:sz w:val="26"/>
    </w:rPr>
  </w:style>
  <w:style w:type="paragraph" w:customStyle="1" w:styleId="Normalnumerado">
    <w:name w:val="Normal numerado"/>
    <w:basedOn w:val="Normal"/>
    <w:pPr>
      <w:numPr>
        <w:numId w:val="1"/>
      </w:numPr>
      <w:suppressAutoHyphens w:val="0"/>
      <w:spacing w:after="120"/>
      <w:jc w:val="both"/>
      <w:textAlignment w:val="auto"/>
    </w:pPr>
  </w:style>
  <w:style w:type="paragraph" w:customStyle="1" w:styleId="ecxmsonormal">
    <w:name w:val="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1712831139msonormal">
    <w:name w:val="yiv1712831139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864571718msonormal">
    <w:name w:val="yiv864571718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324729109ecxmsonormal">
    <w:name w:val="yiv324729109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915764474msonormal">
    <w:name w:val="yiv915764474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28">
    <w:name w:val="xl28"/>
    <w:basedOn w:val="Normal"/>
    <w:pPr>
      <w:suppressAutoHyphens w:val="0"/>
      <w:spacing w:before="100" w:after="100"/>
      <w:jc w:val="center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styleId="Legenda">
    <w:name w:val="caption"/>
    <w:basedOn w:val="Normal"/>
    <w:next w:val="Normal"/>
    <w:pPr>
      <w:suppressAutoHyphens w:val="0"/>
      <w:jc w:val="right"/>
      <w:textAlignment w:val="auto"/>
    </w:pPr>
    <w:rPr>
      <w:b/>
      <w:i/>
      <w:color w:val="0000FF"/>
      <w:sz w:val="40"/>
    </w:rPr>
  </w:style>
  <w:style w:type="paragraph" w:customStyle="1" w:styleId="apadro">
    <w:name w:val="apadrão"/>
    <w:basedOn w:val="Normal"/>
    <w:pPr>
      <w:suppressAutoHyphens w:val="0"/>
      <w:ind w:firstLine="2340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pPr>
      <w:suppressAutoHyphens w:val="0"/>
      <w:textAlignment w:val="auto"/>
    </w:p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il">
    <w:name w:val="il"/>
    <w:basedOn w:val="Fontepargpadro"/>
  </w:style>
  <w:style w:type="character" w:styleId="Forte">
    <w:name w:val="Strong"/>
    <w:basedOn w:val="Fontepargpadro"/>
    <w:uiPriority w:val="22"/>
    <w:qFormat/>
    <w:rsid w:val="00C9208F"/>
    <w:rPr>
      <w:b/>
      <w:bCs/>
    </w:rPr>
  </w:style>
  <w:style w:type="numbering" w:customStyle="1" w:styleId="LFO9">
    <w:name w:val="LFO9"/>
    <w:basedOn w:val="Semlista"/>
    <w:pPr>
      <w:numPr>
        <w:numId w:val="1"/>
      </w:numPr>
    </w:pPr>
  </w:style>
  <w:style w:type="paragraph" w:customStyle="1" w:styleId="textbody">
    <w:name w:val="textbody"/>
    <w:basedOn w:val="Normal"/>
    <w:rsid w:val="00004F3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u-paragraph">
    <w:name w:val="dou-paragraph"/>
    <w:basedOn w:val="Normal"/>
    <w:rsid w:val="000151F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">
    <w:name w:val="Standard"/>
    <w:rsid w:val="00A91BAF"/>
    <w:pPr>
      <w:suppressAutoHyphens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ind w:left="354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Bookman Old Style" w:hAnsi="Bookman Old Style"/>
      <w:i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uppressAutoHyphens w:val="0"/>
      <w:textAlignment w:val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uppressAutoHyphens w:val="0"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rPr>
      <w:rFonts w:ascii="Bookman Old Style" w:hAnsi="Bookman Old Style"/>
      <w:i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b/>
      <w:bCs/>
      <w:sz w:val="24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19">
    <w:name w:val="p1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ind w:right="51"/>
      <w:jc w:val="both"/>
    </w:pPr>
    <w:rPr>
      <w:rFonts w:ascii="Bookman Old Style" w:hAnsi="Bookman Old Style"/>
      <w:sz w:val="24"/>
      <w:szCs w:val="24"/>
    </w:rPr>
  </w:style>
  <w:style w:type="character" w:customStyle="1" w:styleId="Corpodetexto2Char">
    <w:name w:val="Corpo de texto 2 Char"/>
    <w:rPr>
      <w:rFonts w:ascii="Bookman Old Style" w:hAnsi="Bookman Old Style"/>
      <w:sz w:val="24"/>
      <w:szCs w:val="24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rPr>
      <w:rFonts w:ascii="Arial" w:hAnsi="Arial"/>
      <w:b/>
      <w:sz w:val="24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color w:val="0000FF"/>
      <w:sz w:val="24"/>
      <w:szCs w:val="24"/>
      <w:lang w:eastAsia="ar-SA"/>
    </w:rPr>
  </w:style>
  <w:style w:type="character" w:styleId="nfaseSutil">
    <w:name w:val="Subtle Emphasis"/>
    <w:rPr>
      <w:i/>
      <w:iCs/>
      <w:color w:val="80808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ahoma" w:hAnsi="Tahoma"/>
      <w:sz w:val="28"/>
    </w:rPr>
  </w:style>
  <w:style w:type="paragraph" w:styleId="Textodebalo">
    <w:name w:val="Balloon Text"/>
    <w:basedOn w:val="Normal"/>
    <w:pPr>
      <w:suppressAutoHyphens w:val="0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Padro">
    <w:name w:val="Padrão"/>
    <w:rPr>
      <w:sz w:val="24"/>
      <w:lang w:eastAsia="pt-BR"/>
    </w:rPr>
  </w:style>
  <w:style w:type="paragraph" w:customStyle="1" w:styleId="SUB-TI">
    <w:name w:val="SUB-TI"/>
    <w:pPr>
      <w:autoSpaceDE w:val="0"/>
      <w:spacing w:before="113"/>
      <w:jc w:val="center"/>
    </w:pPr>
    <w:rPr>
      <w:rFonts w:ascii="Arial" w:hAnsi="Arial" w:cs="Arial"/>
      <w:b/>
      <w:bCs/>
      <w:sz w:val="28"/>
      <w:szCs w:val="28"/>
      <w:lang w:eastAsia="pt-BR"/>
    </w:rPr>
  </w:style>
  <w:style w:type="paragraph" w:styleId="Corpodetexto3">
    <w:name w:val="Body Text 3"/>
    <w:basedOn w:val="Normal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styleId="Recuodecorpodetexto3">
    <w:name w:val="Body Text Indent 3"/>
    <w:basedOn w:val="Normal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paragraph" w:styleId="Ttulo">
    <w:name w:val="Title"/>
    <w:basedOn w:val="Normal"/>
    <w:uiPriority w:val="10"/>
    <w:qFormat/>
    <w:pPr>
      <w:suppressAutoHyphens w:val="0"/>
      <w:jc w:val="center"/>
      <w:textAlignment w:val="auto"/>
    </w:pPr>
    <w:rPr>
      <w:b/>
      <w:bCs/>
      <w:sz w:val="24"/>
    </w:rPr>
  </w:style>
  <w:style w:type="character" w:customStyle="1" w:styleId="TtuloChar">
    <w:name w:val="Título Char"/>
    <w:rPr>
      <w:b/>
      <w:bCs/>
      <w:sz w:val="24"/>
    </w:rPr>
  </w:style>
  <w:style w:type="paragraph" w:styleId="Recuodecorpodetexto2">
    <w:name w:val="Body Text Indent 2"/>
    <w:basedOn w:val="Normal"/>
    <w:pPr>
      <w:suppressAutoHyphens w:val="0"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paragraph" w:styleId="TextosemFormatao">
    <w:name w:val="Plain Text"/>
    <w:basedOn w:val="Normal"/>
    <w:pPr>
      <w:suppressAutoHyphens w:val="0"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CharChar9">
    <w:name w:val="Char Char9"/>
    <w:rPr>
      <w:rFonts w:ascii="Courier New" w:hAnsi="Courier New"/>
      <w:b/>
      <w:sz w:val="28"/>
      <w:lang w:val="pt-BR" w:eastAsia="pt-BR"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CharChar4">
    <w:name w:val="Char Char4"/>
    <w:rPr>
      <w:rFonts w:ascii="Tahoma" w:hAnsi="Tahoma" w:cs="Tahoma"/>
      <w:b/>
      <w:sz w:val="24"/>
      <w:lang w:bidi="ar-SA"/>
    </w:rPr>
  </w:style>
  <w:style w:type="character" w:customStyle="1" w:styleId="SubttuloChar">
    <w:name w:val="Subtítulo Char"/>
    <w:rPr>
      <w:rFonts w:ascii="Cambria" w:hAnsi="Cambria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uppressAutoHyphens w:val="0"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sz w:val="24"/>
      <w:szCs w:val="24"/>
    </w:rPr>
  </w:style>
  <w:style w:type="character" w:customStyle="1" w:styleId="CharChar5">
    <w:name w:val="Char Char5"/>
    <w:rPr>
      <w:lang w:val="pt-BR" w:eastAsia="pt-BR" w:bidi="ar-SA"/>
    </w:rPr>
  </w:style>
  <w:style w:type="paragraph" w:customStyle="1" w:styleId="WW-Corpodetexto3">
    <w:name w:val="WW-Corpo de texto 3"/>
    <w:basedOn w:val="Normal"/>
    <w:pPr>
      <w:jc w:val="both"/>
      <w:textAlignment w:val="auto"/>
    </w:pPr>
    <w:rPr>
      <w:rFonts w:ascii="MS Mincho" w:hAnsi="MS Mincho"/>
      <w:color w:val="000000"/>
      <w:sz w:val="24"/>
    </w:rPr>
  </w:style>
  <w:style w:type="paragraph" w:customStyle="1" w:styleId="WW-Corpodetexto2">
    <w:name w:val="WW-Corpo de texto 2"/>
    <w:basedOn w:val="Normal"/>
    <w:pPr>
      <w:widowControl w:val="0"/>
      <w:tabs>
        <w:tab w:val="left" w:pos="720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tedodatabela">
    <w:name w:val="Conteúdo da tabela"/>
    <w:basedOn w:val="Corpodetexto"/>
    <w:pPr>
      <w:spacing w:after="0"/>
      <w:jc w:val="both"/>
      <w:textAlignment w:val="auto"/>
    </w:pPr>
    <w:rPr>
      <w:rFonts w:ascii="Bookman Old Style" w:hAnsi="Bookman Old Style"/>
      <w:color w:val="000000"/>
      <w:sz w:val="22"/>
    </w:rPr>
  </w:style>
  <w:style w:type="paragraph" w:styleId="Textoembloco">
    <w:name w:val="Block Text"/>
    <w:basedOn w:val="Normal"/>
    <w:pPr>
      <w:suppressAutoHyphens w:val="0"/>
      <w:ind w:left="851" w:right="474" w:firstLine="1701"/>
      <w:jc w:val="both"/>
      <w:textAlignment w:val="auto"/>
    </w:pPr>
    <w:rPr>
      <w:sz w:val="26"/>
    </w:rPr>
  </w:style>
  <w:style w:type="paragraph" w:customStyle="1" w:styleId="Normalnumerado">
    <w:name w:val="Normal numerado"/>
    <w:basedOn w:val="Normal"/>
    <w:pPr>
      <w:numPr>
        <w:numId w:val="1"/>
      </w:numPr>
      <w:suppressAutoHyphens w:val="0"/>
      <w:spacing w:after="120"/>
      <w:jc w:val="both"/>
      <w:textAlignment w:val="auto"/>
    </w:pPr>
  </w:style>
  <w:style w:type="paragraph" w:customStyle="1" w:styleId="ecxmsonormal">
    <w:name w:val="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1712831139msonormal">
    <w:name w:val="yiv1712831139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864571718msonormal">
    <w:name w:val="yiv864571718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324729109ecxmsonormal">
    <w:name w:val="yiv324729109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915764474msonormal">
    <w:name w:val="yiv915764474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28">
    <w:name w:val="xl28"/>
    <w:basedOn w:val="Normal"/>
    <w:pPr>
      <w:suppressAutoHyphens w:val="0"/>
      <w:spacing w:before="100" w:after="100"/>
      <w:jc w:val="center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styleId="Legenda">
    <w:name w:val="caption"/>
    <w:basedOn w:val="Normal"/>
    <w:next w:val="Normal"/>
    <w:pPr>
      <w:suppressAutoHyphens w:val="0"/>
      <w:jc w:val="right"/>
      <w:textAlignment w:val="auto"/>
    </w:pPr>
    <w:rPr>
      <w:b/>
      <w:i/>
      <w:color w:val="0000FF"/>
      <w:sz w:val="40"/>
    </w:rPr>
  </w:style>
  <w:style w:type="paragraph" w:customStyle="1" w:styleId="apadro">
    <w:name w:val="apadrão"/>
    <w:basedOn w:val="Normal"/>
    <w:pPr>
      <w:suppressAutoHyphens w:val="0"/>
      <w:ind w:firstLine="2340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pPr>
      <w:suppressAutoHyphens w:val="0"/>
      <w:textAlignment w:val="auto"/>
    </w:p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il">
    <w:name w:val="il"/>
    <w:basedOn w:val="Fontepargpadro"/>
  </w:style>
  <w:style w:type="character" w:styleId="Forte">
    <w:name w:val="Strong"/>
    <w:basedOn w:val="Fontepargpadro"/>
    <w:uiPriority w:val="22"/>
    <w:qFormat/>
    <w:rsid w:val="00C9208F"/>
    <w:rPr>
      <w:b/>
      <w:bCs/>
    </w:rPr>
  </w:style>
  <w:style w:type="numbering" w:customStyle="1" w:styleId="LFO9">
    <w:name w:val="LFO9"/>
    <w:basedOn w:val="Semlista"/>
    <w:pPr>
      <w:numPr>
        <w:numId w:val="1"/>
      </w:numPr>
    </w:pPr>
  </w:style>
  <w:style w:type="paragraph" w:customStyle="1" w:styleId="textbody">
    <w:name w:val="textbody"/>
    <w:basedOn w:val="Normal"/>
    <w:rsid w:val="00004F3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u-paragraph">
    <w:name w:val="dou-paragraph"/>
    <w:basedOn w:val="Normal"/>
    <w:rsid w:val="000151F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">
    <w:name w:val="Standard"/>
    <w:rsid w:val="00A91BAF"/>
    <w:pPr>
      <w:suppressAutoHyphens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Clientes%20P&#250;blicos\Prefeitura%20Municipal%20de%20Entre%20Folhas\Gabinete%20do%20Prefeito%20Municipal\Decretos\Decreto%20-%20Acesso%20a%20Informa&#231;&#227;o\PAPEL%20TIMBRA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42</TotalTime>
  <Pages>7</Pages>
  <Words>2172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      /2009</vt:lpstr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      /2009</dc:title>
  <dc:subject/>
  <dc:creator>Ronaldo Guido Medeiros</dc:creator>
  <cp:lastModifiedBy>Usuário do Windows</cp:lastModifiedBy>
  <cp:revision>22</cp:revision>
  <cp:lastPrinted>2023-06-07T12:17:00Z</cp:lastPrinted>
  <dcterms:created xsi:type="dcterms:W3CDTF">2023-06-01T18:34:00Z</dcterms:created>
  <dcterms:modified xsi:type="dcterms:W3CDTF">2024-02-15T17:32:00Z</dcterms:modified>
</cp:coreProperties>
</file>