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4A8AE" w14:textId="07F0D1A3" w:rsidR="00CF7C38" w:rsidRPr="00AB49D1" w:rsidRDefault="00CF7C38" w:rsidP="00CF7C38">
      <w:pPr>
        <w:spacing w:before="100" w:beforeAutospacing="1" w:after="100" w:afterAutospacing="1"/>
        <w:jc w:val="center"/>
        <w:rPr>
          <w:rFonts w:ascii="Century Gothic" w:hAnsi="Century Gothic" w:cs="Segoe UI"/>
          <w:b/>
          <w:color w:val="000000" w:themeColor="text1"/>
          <w:sz w:val="32"/>
          <w:szCs w:val="32"/>
        </w:rPr>
      </w:pPr>
      <w:r>
        <w:rPr>
          <w:rFonts w:ascii="Century Gothic" w:hAnsi="Century Gothic" w:cs="Segoe UI"/>
          <w:b/>
          <w:color w:val="000000" w:themeColor="text1"/>
          <w:sz w:val="32"/>
          <w:szCs w:val="32"/>
        </w:rPr>
        <w:t>PORTARIA</w:t>
      </w:r>
      <w:r w:rsidRPr="00AB49D1">
        <w:rPr>
          <w:rFonts w:ascii="Century Gothic" w:hAnsi="Century Gothic" w:cs="Segoe UI"/>
          <w:b/>
          <w:color w:val="000000" w:themeColor="text1"/>
          <w:sz w:val="32"/>
          <w:szCs w:val="32"/>
        </w:rPr>
        <w:t xml:space="preserve"> Nº</w:t>
      </w:r>
      <w:r>
        <w:rPr>
          <w:rFonts w:ascii="Century Gothic" w:hAnsi="Century Gothic" w:cs="Segoe UI"/>
          <w:b/>
          <w:color w:val="000000" w:themeColor="text1"/>
          <w:sz w:val="32"/>
          <w:szCs w:val="32"/>
        </w:rPr>
        <w:t xml:space="preserve"> 0</w:t>
      </w:r>
      <w:r w:rsidR="00E455EC">
        <w:rPr>
          <w:rFonts w:ascii="Century Gothic" w:hAnsi="Century Gothic" w:cs="Segoe UI"/>
          <w:b/>
          <w:color w:val="000000" w:themeColor="text1"/>
          <w:sz w:val="32"/>
          <w:szCs w:val="32"/>
        </w:rPr>
        <w:t>8</w:t>
      </w:r>
      <w:bookmarkStart w:id="0" w:name="_GoBack"/>
      <w:bookmarkEnd w:id="0"/>
      <w:r w:rsidRPr="00AB49D1">
        <w:rPr>
          <w:rFonts w:ascii="Century Gothic" w:hAnsi="Century Gothic" w:cs="Segoe UI"/>
          <w:b/>
          <w:color w:val="000000" w:themeColor="text1"/>
          <w:sz w:val="32"/>
          <w:szCs w:val="32"/>
        </w:rPr>
        <w:t xml:space="preserve">, DE </w:t>
      </w:r>
      <w:r>
        <w:rPr>
          <w:rFonts w:ascii="Century Gothic" w:hAnsi="Century Gothic" w:cs="Segoe UI"/>
          <w:b/>
          <w:color w:val="000000" w:themeColor="text1"/>
          <w:sz w:val="32"/>
          <w:szCs w:val="32"/>
        </w:rPr>
        <w:t>15</w:t>
      </w:r>
      <w:r w:rsidRPr="00AB49D1">
        <w:rPr>
          <w:rFonts w:ascii="Century Gothic" w:hAnsi="Century Gothic" w:cs="Segoe UI"/>
          <w:b/>
          <w:color w:val="000000" w:themeColor="text1"/>
          <w:sz w:val="32"/>
          <w:szCs w:val="32"/>
        </w:rPr>
        <w:t xml:space="preserve"> DE </w:t>
      </w:r>
      <w:r>
        <w:rPr>
          <w:rFonts w:ascii="Century Gothic" w:hAnsi="Century Gothic" w:cs="Segoe UI"/>
          <w:b/>
          <w:color w:val="000000" w:themeColor="text1"/>
          <w:sz w:val="32"/>
          <w:szCs w:val="32"/>
        </w:rPr>
        <w:t>FEVEREIRO</w:t>
      </w:r>
      <w:r w:rsidRPr="00AB49D1">
        <w:rPr>
          <w:rFonts w:ascii="Century Gothic" w:hAnsi="Century Gothic" w:cs="Segoe UI"/>
          <w:b/>
          <w:color w:val="000000" w:themeColor="text1"/>
          <w:sz w:val="32"/>
          <w:szCs w:val="32"/>
        </w:rPr>
        <w:t xml:space="preserve"> DE 202</w:t>
      </w:r>
      <w:r>
        <w:rPr>
          <w:rFonts w:ascii="Century Gothic" w:hAnsi="Century Gothic" w:cs="Segoe UI"/>
          <w:b/>
          <w:color w:val="000000" w:themeColor="text1"/>
          <w:sz w:val="32"/>
          <w:szCs w:val="32"/>
        </w:rPr>
        <w:t>4</w:t>
      </w:r>
    </w:p>
    <w:p w14:paraId="211497E1" w14:textId="4AA8072F" w:rsidR="00DA4885" w:rsidRPr="00B6508C" w:rsidRDefault="00CF7C38" w:rsidP="00CF7C38">
      <w:pPr>
        <w:pStyle w:val="textbody"/>
        <w:ind w:left="3969"/>
        <w:jc w:val="both"/>
        <w:rPr>
          <w:rFonts w:ascii="Century Gothic" w:hAnsi="Century Gothic" w:cs="Segoe UI"/>
          <w:color w:val="000000" w:themeColor="text1"/>
          <w:sz w:val="18"/>
          <w:szCs w:val="18"/>
        </w:rPr>
      </w:pPr>
      <w:r w:rsidRPr="00B6508C">
        <w:rPr>
          <w:rStyle w:val="Forte"/>
          <w:rFonts w:ascii="Century Gothic" w:hAnsi="Century Gothic" w:cs="Segoe UI"/>
          <w:b w:val="0"/>
          <w:bCs w:val="0"/>
          <w:color w:val="000000" w:themeColor="text1"/>
          <w:sz w:val="18"/>
          <w:szCs w:val="18"/>
          <w:shd w:val="clear" w:color="auto" w:fill="FFFFFF"/>
        </w:rPr>
        <w:t xml:space="preserve"> </w:t>
      </w:r>
      <w:r w:rsidR="00AB49D1" w:rsidRPr="00B6508C">
        <w:rPr>
          <w:rStyle w:val="Forte"/>
          <w:rFonts w:ascii="Century Gothic" w:hAnsi="Century Gothic" w:cs="Segoe UI"/>
          <w:b w:val="0"/>
          <w:bCs w:val="0"/>
          <w:color w:val="000000" w:themeColor="text1"/>
          <w:sz w:val="18"/>
          <w:szCs w:val="18"/>
          <w:shd w:val="clear" w:color="auto" w:fill="FFFFFF"/>
        </w:rPr>
        <w:t>“</w:t>
      </w:r>
      <w:r w:rsidR="002466C8" w:rsidRPr="00B6508C">
        <w:rPr>
          <w:rStyle w:val="Forte"/>
          <w:rFonts w:ascii="Century Gothic" w:hAnsi="Century Gothic" w:cs="Segoe UI"/>
          <w:b w:val="0"/>
          <w:bCs w:val="0"/>
          <w:color w:val="000000" w:themeColor="text1"/>
          <w:sz w:val="18"/>
          <w:szCs w:val="18"/>
          <w:shd w:val="clear" w:color="auto" w:fill="FFFFFF"/>
        </w:rPr>
        <w:t>Regulamenta o procedimento de apuração de i</w:t>
      </w:r>
      <w:r w:rsidR="002466C8" w:rsidRPr="00B6508C">
        <w:rPr>
          <w:rStyle w:val="Forte"/>
          <w:rFonts w:ascii="Century Gothic" w:hAnsi="Century Gothic" w:cs="Segoe UI"/>
          <w:b w:val="0"/>
          <w:bCs w:val="0"/>
          <w:color w:val="000000" w:themeColor="text1"/>
          <w:sz w:val="18"/>
          <w:szCs w:val="18"/>
          <w:shd w:val="clear" w:color="auto" w:fill="FFFFFF"/>
        </w:rPr>
        <w:t>n</w:t>
      </w:r>
      <w:r w:rsidR="002466C8" w:rsidRPr="00B6508C">
        <w:rPr>
          <w:rStyle w:val="Forte"/>
          <w:rFonts w:ascii="Century Gothic" w:hAnsi="Century Gothic" w:cs="Segoe UI"/>
          <w:b w:val="0"/>
          <w:bCs w:val="0"/>
          <w:color w:val="000000" w:themeColor="text1"/>
          <w:sz w:val="18"/>
          <w:szCs w:val="18"/>
          <w:shd w:val="clear" w:color="auto" w:fill="FFFFFF"/>
        </w:rPr>
        <w:t>frações e aplicação de sanções administrativas aos fornecedores, nos termos</w:t>
      </w:r>
      <w:r w:rsidR="002C6665" w:rsidRPr="00B6508C">
        <w:rPr>
          <w:rStyle w:val="Forte"/>
          <w:rFonts w:ascii="Century Gothic" w:hAnsi="Century Gothic" w:cs="Segoe UI"/>
          <w:b w:val="0"/>
          <w:bCs w:val="0"/>
          <w:color w:val="000000" w:themeColor="text1"/>
          <w:sz w:val="18"/>
          <w:szCs w:val="18"/>
          <w:shd w:val="clear" w:color="auto" w:fill="FFFFFF"/>
        </w:rPr>
        <w:t xml:space="preserve"> </w:t>
      </w:r>
      <w:r w:rsidR="002466C8" w:rsidRPr="00B6508C">
        <w:rPr>
          <w:rStyle w:val="Forte"/>
          <w:rFonts w:ascii="Century Gothic" w:hAnsi="Century Gothic" w:cs="Segoe UI"/>
          <w:b w:val="0"/>
          <w:bCs w:val="0"/>
          <w:color w:val="000000" w:themeColor="text1"/>
          <w:sz w:val="18"/>
          <w:szCs w:val="18"/>
          <w:shd w:val="clear" w:color="auto" w:fill="FFFFFF"/>
        </w:rPr>
        <w:t>da Lei Federal nº 14.133, de 1º de abril de</w:t>
      </w:r>
      <w:r w:rsidR="002C6665" w:rsidRPr="00B6508C">
        <w:rPr>
          <w:rStyle w:val="Forte"/>
          <w:rFonts w:ascii="Century Gothic" w:hAnsi="Century Gothic" w:cs="Segoe UI"/>
          <w:b w:val="0"/>
          <w:bCs w:val="0"/>
          <w:color w:val="000000" w:themeColor="text1"/>
          <w:sz w:val="18"/>
          <w:szCs w:val="18"/>
          <w:shd w:val="clear" w:color="auto" w:fill="FFFFFF"/>
        </w:rPr>
        <w:t xml:space="preserve"> </w:t>
      </w:r>
      <w:r w:rsidR="002466C8" w:rsidRPr="00B6508C">
        <w:rPr>
          <w:rStyle w:val="Forte"/>
          <w:rFonts w:ascii="Century Gothic" w:hAnsi="Century Gothic" w:cs="Segoe UI"/>
          <w:b w:val="0"/>
          <w:bCs w:val="0"/>
          <w:color w:val="000000" w:themeColor="text1"/>
          <w:sz w:val="18"/>
          <w:szCs w:val="18"/>
          <w:shd w:val="clear" w:color="auto" w:fill="FFFFFF"/>
        </w:rPr>
        <w:t xml:space="preserve">2021, no </w:t>
      </w:r>
      <w:r w:rsidR="003556FF">
        <w:rPr>
          <w:rStyle w:val="Forte"/>
          <w:rFonts w:ascii="Century Gothic" w:hAnsi="Century Gothic" w:cs="Segoe UI"/>
          <w:b w:val="0"/>
          <w:bCs w:val="0"/>
          <w:color w:val="000000" w:themeColor="text1"/>
          <w:sz w:val="18"/>
          <w:szCs w:val="18"/>
          <w:shd w:val="clear" w:color="auto" w:fill="FFFFFF"/>
        </w:rPr>
        <w:t>âmbito da Câmara Municipal</w:t>
      </w:r>
      <w:r w:rsidR="002C6665" w:rsidRPr="00B6508C">
        <w:rPr>
          <w:rStyle w:val="Forte"/>
          <w:rFonts w:ascii="Century Gothic" w:hAnsi="Century Gothic" w:cs="Segoe UI"/>
          <w:b w:val="0"/>
          <w:bCs w:val="0"/>
          <w:color w:val="000000" w:themeColor="text1"/>
          <w:sz w:val="18"/>
          <w:szCs w:val="18"/>
          <w:shd w:val="clear" w:color="auto" w:fill="FFFFFF"/>
        </w:rPr>
        <w:t xml:space="preserve"> </w:t>
      </w:r>
      <w:r w:rsidR="00AB49D1" w:rsidRPr="00B6508C">
        <w:rPr>
          <w:rStyle w:val="Forte"/>
          <w:rFonts w:ascii="Century Gothic" w:hAnsi="Century Gothic" w:cs="Segoe UI"/>
          <w:b w:val="0"/>
          <w:bCs w:val="0"/>
          <w:color w:val="000000" w:themeColor="text1"/>
          <w:sz w:val="18"/>
          <w:szCs w:val="18"/>
          <w:shd w:val="clear" w:color="auto" w:fill="FFFFFF"/>
        </w:rPr>
        <w:t>e dá outras providências”</w:t>
      </w:r>
      <w:r w:rsidR="00C015AC" w:rsidRPr="00B6508C">
        <w:rPr>
          <w:rStyle w:val="Forte"/>
          <w:rFonts w:ascii="Century Gothic" w:hAnsi="Century Gothic" w:cs="Segoe UI"/>
          <w:b w:val="0"/>
          <w:bCs w:val="0"/>
          <w:color w:val="000000" w:themeColor="text1"/>
          <w:sz w:val="18"/>
          <w:szCs w:val="18"/>
          <w:shd w:val="clear" w:color="auto" w:fill="FFFFFF"/>
        </w:rPr>
        <w:t>.</w:t>
      </w:r>
    </w:p>
    <w:p w14:paraId="3E4462EC" w14:textId="36C1FDED" w:rsidR="001A4FE8" w:rsidRPr="00B662D0" w:rsidRDefault="00C9208F" w:rsidP="001A4FE8">
      <w:pPr>
        <w:spacing w:before="100" w:beforeAutospacing="1" w:after="100" w:afterAutospacing="1"/>
        <w:jc w:val="both"/>
        <w:rPr>
          <w:rFonts w:ascii="Century Gothic" w:eastAsiaTheme="minorEastAsia" w:hAnsi="Century Gothic" w:cs="Segoe UI"/>
          <w:color w:val="000000" w:themeColor="text1"/>
        </w:rPr>
      </w:pPr>
      <w:r w:rsidRPr="00B662D0">
        <w:rPr>
          <w:rFonts w:ascii="Century Gothic" w:eastAsiaTheme="minorEastAsia" w:hAnsi="Century Gothic" w:cs="Segoe UI"/>
          <w:color w:val="000000" w:themeColor="text1"/>
        </w:rPr>
        <w:t xml:space="preserve">O </w:t>
      </w:r>
      <w:r w:rsidR="003556FF">
        <w:rPr>
          <w:rFonts w:ascii="Century Gothic" w:eastAsiaTheme="minorEastAsia" w:hAnsi="Century Gothic" w:cs="Segoe UI"/>
          <w:color w:val="000000" w:themeColor="text1"/>
        </w:rPr>
        <w:t xml:space="preserve">Presidente da Câmara Municipal de </w:t>
      </w:r>
      <w:r w:rsidR="00CF7C38">
        <w:rPr>
          <w:rFonts w:ascii="Century Gothic" w:eastAsiaTheme="minorEastAsia" w:hAnsi="Century Gothic" w:cs="Segoe UI"/>
          <w:color w:val="000000" w:themeColor="text1"/>
        </w:rPr>
        <w:t>Argirita</w:t>
      </w:r>
      <w:r w:rsidRPr="00B662D0">
        <w:rPr>
          <w:rFonts w:ascii="Century Gothic" w:eastAsiaTheme="minorEastAsia" w:hAnsi="Century Gothic" w:cs="Segoe UI"/>
          <w:color w:val="000000" w:themeColor="text1"/>
        </w:rPr>
        <w:t xml:space="preserve">, </w:t>
      </w:r>
      <w:r w:rsidR="00AB49D1" w:rsidRPr="00B662D0">
        <w:rPr>
          <w:rFonts w:ascii="Century Gothic" w:eastAsiaTheme="minorEastAsia" w:hAnsi="Century Gothic" w:cs="Segoe UI"/>
          <w:color w:val="000000" w:themeColor="text1"/>
        </w:rPr>
        <w:t>E</w:t>
      </w:r>
      <w:r w:rsidRPr="00B662D0">
        <w:rPr>
          <w:rFonts w:ascii="Century Gothic" w:eastAsiaTheme="minorEastAsia" w:hAnsi="Century Gothic" w:cs="Segoe UI"/>
          <w:color w:val="000000" w:themeColor="text1"/>
        </w:rPr>
        <w:t xml:space="preserve">stado de Minas Gerais, </w:t>
      </w:r>
      <w:r w:rsidR="00AB49D1" w:rsidRPr="00B662D0">
        <w:rPr>
          <w:rFonts w:ascii="Century Gothic" w:eastAsiaTheme="minorEastAsia" w:hAnsi="Century Gothic" w:cs="Segoe UI"/>
          <w:color w:val="000000" w:themeColor="text1"/>
        </w:rPr>
        <w:t>no uso de suas atribuições legais</w:t>
      </w:r>
      <w:r w:rsidRPr="00B662D0">
        <w:rPr>
          <w:rFonts w:ascii="Century Gothic" w:eastAsiaTheme="minorEastAsia" w:hAnsi="Century Gothic" w:cs="Segoe UI"/>
          <w:color w:val="000000" w:themeColor="text1"/>
        </w:rPr>
        <w:t>, especialmente as que lhe confere a Lei Orgânica Municipal</w:t>
      </w:r>
      <w:r w:rsidR="00AB49D1" w:rsidRPr="00B662D0">
        <w:rPr>
          <w:rFonts w:ascii="Century Gothic" w:eastAsiaTheme="minorEastAsia" w:hAnsi="Century Gothic" w:cs="Segoe UI"/>
          <w:color w:val="000000" w:themeColor="text1"/>
        </w:rPr>
        <w:t xml:space="preserve"> e tendo em vista o disposto na Lei Federal nº 14.133/2021,</w:t>
      </w:r>
    </w:p>
    <w:p w14:paraId="31017868" w14:textId="297B1002" w:rsidR="002466C8" w:rsidRPr="00B662D0" w:rsidRDefault="003556FF" w:rsidP="00B662D0">
      <w:pPr>
        <w:spacing w:before="100" w:beforeAutospacing="1" w:after="100" w:afterAutospacing="1"/>
        <w:jc w:val="both"/>
        <w:rPr>
          <w:rFonts w:ascii="Century Gothic" w:hAnsi="Century Gothic"/>
        </w:rPr>
      </w:pPr>
      <w:r>
        <w:rPr>
          <w:rFonts w:ascii="Century Gothic" w:eastAsiaTheme="minorEastAsia" w:hAnsi="Century Gothic" w:cs="Segoe UI"/>
          <w:b/>
          <w:bCs/>
          <w:i/>
          <w:iCs/>
          <w:color w:val="000000" w:themeColor="text1"/>
          <w:u w:val="single"/>
        </w:rPr>
        <w:t>RESOLVE</w:t>
      </w:r>
      <w:r w:rsidR="00AB49D1" w:rsidRPr="00B662D0">
        <w:rPr>
          <w:rFonts w:ascii="Century Gothic" w:eastAsiaTheme="minorEastAsia" w:hAnsi="Century Gothic" w:cs="Segoe UI"/>
          <w:color w:val="000000" w:themeColor="text1"/>
        </w:rPr>
        <w:t>:</w:t>
      </w:r>
    </w:p>
    <w:p w14:paraId="32A15943" w14:textId="77777777" w:rsidR="00B662D0" w:rsidRDefault="00FC1773" w:rsidP="001A4FE8">
      <w:pPr>
        <w:jc w:val="center"/>
        <w:rPr>
          <w:rFonts w:ascii="Century Gothic" w:hAnsi="Century Gothic"/>
        </w:rPr>
      </w:pPr>
      <w:r w:rsidRPr="00B662D0">
        <w:rPr>
          <w:rFonts w:ascii="Century Gothic" w:hAnsi="Century Gothic"/>
        </w:rPr>
        <w:t xml:space="preserve">CAPÍTULO I </w:t>
      </w:r>
    </w:p>
    <w:p w14:paraId="0E3022DF" w14:textId="5E425AC6" w:rsidR="003466F0" w:rsidRPr="00B662D0" w:rsidRDefault="00FC1773" w:rsidP="001A4FE8">
      <w:pPr>
        <w:jc w:val="center"/>
        <w:rPr>
          <w:rFonts w:ascii="Century Gothic" w:hAnsi="Century Gothic"/>
        </w:rPr>
      </w:pPr>
      <w:r w:rsidRPr="00B662D0">
        <w:rPr>
          <w:rFonts w:ascii="Century Gothic" w:hAnsi="Century Gothic"/>
        </w:rPr>
        <w:t xml:space="preserve">DISPOSIÇÕES PRELIMINARES </w:t>
      </w:r>
    </w:p>
    <w:p w14:paraId="5D72CE01" w14:textId="77777777" w:rsidR="003466F0" w:rsidRPr="00B662D0" w:rsidRDefault="00FC1773" w:rsidP="001A4FE8">
      <w:pPr>
        <w:jc w:val="center"/>
        <w:rPr>
          <w:rFonts w:ascii="Century Gothic" w:hAnsi="Century Gothic"/>
        </w:rPr>
      </w:pPr>
      <w:r w:rsidRPr="00B662D0">
        <w:rPr>
          <w:rFonts w:ascii="Century Gothic" w:hAnsi="Century Gothic"/>
        </w:rPr>
        <w:t xml:space="preserve">Seção I </w:t>
      </w:r>
    </w:p>
    <w:p w14:paraId="3254A00D" w14:textId="77777777" w:rsidR="003466F0" w:rsidRPr="00B662D0" w:rsidRDefault="00FC1773" w:rsidP="001A4FE8">
      <w:pPr>
        <w:jc w:val="center"/>
        <w:rPr>
          <w:rFonts w:ascii="Century Gothic" w:hAnsi="Century Gothic"/>
        </w:rPr>
      </w:pPr>
      <w:r w:rsidRPr="00B662D0">
        <w:rPr>
          <w:rFonts w:ascii="Century Gothic" w:hAnsi="Century Gothic"/>
        </w:rPr>
        <w:t xml:space="preserve">Objeto e âmbito de aplicação </w:t>
      </w:r>
    </w:p>
    <w:p w14:paraId="43FCC855" w14:textId="72B32BE4" w:rsidR="00B6508C" w:rsidRDefault="00FC1773" w:rsidP="00B6508C">
      <w:pPr>
        <w:spacing w:before="100" w:beforeAutospacing="1" w:after="100" w:afterAutospacing="1"/>
        <w:jc w:val="both"/>
        <w:rPr>
          <w:rFonts w:ascii="Century Gothic" w:hAnsi="Century Gothic"/>
        </w:rPr>
      </w:pPr>
      <w:r w:rsidRPr="00B662D0">
        <w:rPr>
          <w:rFonts w:ascii="Century Gothic" w:hAnsi="Century Gothic"/>
        </w:rPr>
        <w:t xml:space="preserve">Art. 1º - </w:t>
      </w:r>
      <w:r w:rsidR="003556FF">
        <w:rPr>
          <w:rFonts w:ascii="Century Gothic" w:hAnsi="Century Gothic"/>
        </w:rPr>
        <w:t>Esta Portaria</w:t>
      </w:r>
      <w:r w:rsidRPr="00B662D0">
        <w:rPr>
          <w:rFonts w:ascii="Century Gothic" w:hAnsi="Century Gothic"/>
        </w:rPr>
        <w:t xml:space="preserve"> regulamenta o procedimento de apuração de infrações e aplicação de sanções administrativas aos fornecedores, nos termos dos artigos 155 a 163, da Lei Federal nº 14.133, de 1º de abril de 2021, no </w:t>
      </w:r>
      <w:r w:rsidR="003556FF">
        <w:rPr>
          <w:rFonts w:ascii="Century Gothic" w:hAnsi="Century Gothic"/>
        </w:rPr>
        <w:t xml:space="preserve">âmbito da Câmara Municipal de </w:t>
      </w:r>
      <w:r w:rsidR="00CF7C38">
        <w:rPr>
          <w:rFonts w:ascii="Century Gothic" w:hAnsi="Century Gothic"/>
        </w:rPr>
        <w:t>Argirita</w:t>
      </w:r>
      <w:r w:rsidRPr="00B6508C">
        <w:rPr>
          <w:rFonts w:ascii="Century Gothic" w:hAnsi="Century Gothic"/>
        </w:rPr>
        <w:t xml:space="preserve">. </w:t>
      </w:r>
    </w:p>
    <w:p w14:paraId="6515C454" w14:textId="3F337020" w:rsidR="003466F0" w:rsidRP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Art. 2º - </w:t>
      </w:r>
      <w:r w:rsidR="003556FF">
        <w:rPr>
          <w:rFonts w:ascii="Century Gothic" w:hAnsi="Century Gothic"/>
        </w:rPr>
        <w:t>Q</w:t>
      </w:r>
      <w:r w:rsidRPr="00B6508C">
        <w:rPr>
          <w:rFonts w:ascii="Century Gothic" w:hAnsi="Century Gothic"/>
        </w:rPr>
        <w:t xml:space="preserve">uando </w:t>
      </w:r>
      <w:r w:rsidR="003556FF">
        <w:rPr>
          <w:rFonts w:ascii="Century Gothic" w:hAnsi="Century Gothic"/>
        </w:rPr>
        <w:t xml:space="preserve">for </w:t>
      </w:r>
      <w:r w:rsidRPr="00B6508C">
        <w:rPr>
          <w:rFonts w:ascii="Century Gothic" w:hAnsi="Century Gothic"/>
        </w:rPr>
        <w:t>executa</w:t>
      </w:r>
      <w:r w:rsidR="003556FF">
        <w:rPr>
          <w:rFonts w:ascii="Century Gothic" w:hAnsi="Century Gothic"/>
        </w:rPr>
        <w:t>do com</w:t>
      </w:r>
      <w:r w:rsidRPr="00B6508C">
        <w:rPr>
          <w:rFonts w:ascii="Century Gothic" w:hAnsi="Century Gothic"/>
        </w:rPr>
        <w:t xml:space="preserve"> recursos </w:t>
      </w:r>
      <w:r w:rsidR="003556FF">
        <w:rPr>
          <w:rFonts w:ascii="Century Gothic" w:hAnsi="Century Gothic"/>
        </w:rPr>
        <w:t xml:space="preserve">Municipal, da </w:t>
      </w:r>
      <w:r w:rsidRPr="00B6508C">
        <w:rPr>
          <w:rFonts w:ascii="Century Gothic" w:hAnsi="Century Gothic"/>
        </w:rPr>
        <w:t>União</w:t>
      </w:r>
      <w:r w:rsidR="00FB0794">
        <w:rPr>
          <w:rFonts w:ascii="Century Gothic" w:hAnsi="Century Gothic"/>
        </w:rPr>
        <w:t xml:space="preserve"> e do Estado</w:t>
      </w:r>
      <w:r w:rsidRPr="00B6508C">
        <w:rPr>
          <w:rFonts w:ascii="Century Gothic" w:hAnsi="Century Gothic"/>
        </w:rPr>
        <w:t xml:space="preserve"> decorrentes de transferências voluntárias, deverão observar as regras vigentes que regulamentam o respectivo procedimento em âmbito</w:t>
      </w:r>
      <w:r w:rsidR="003556FF">
        <w:rPr>
          <w:rFonts w:ascii="Century Gothic" w:hAnsi="Century Gothic"/>
        </w:rPr>
        <w:t xml:space="preserve"> Municipal,</w:t>
      </w:r>
      <w:r w:rsidRPr="00B6508C">
        <w:rPr>
          <w:rFonts w:ascii="Century Gothic" w:hAnsi="Century Gothic"/>
        </w:rPr>
        <w:t xml:space="preserve"> Federal</w:t>
      </w:r>
      <w:r w:rsidR="00FB0794">
        <w:rPr>
          <w:rFonts w:ascii="Century Gothic" w:hAnsi="Century Gothic"/>
        </w:rPr>
        <w:t xml:space="preserve"> ou Estadual</w:t>
      </w:r>
      <w:r w:rsidRPr="00B6508C">
        <w:rPr>
          <w:rFonts w:ascii="Century Gothic" w:hAnsi="Century Gothic"/>
        </w:rPr>
        <w:t xml:space="preserve">. </w:t>
      </w:r>
    </w:p>
    <w:p w14:paraId="69D6853F" w14:textId="77777777" w:rsidR="003466F0" w:rsidRPr="00B6508C" w:rsidRDefault="00FC1773" w:rsidP="001A4FE8">
      <w:pPr>
        <w:jc w:val="center"/>
        <w:rPr>
          <w:rFonts w:ascii="Century Gothic" w:hAnsi="Century Gothic"/>
        </w:rPr>
      </w:pPr>
      <w:r w:rsidRPr="00B6508C">
        <w:rPr>
          <w:rFonts w:ascii="Century Gothic" w:hAnsi="Century Gothic"/>
        </w:rPr>
        <w:t xml:space="preserve">Seção II </w:t>
      </w:r>
    </w:p>
    <w:p w14:paraId="7A608C40" w14:textId="77777777" w:rsidR="003466F0" w:rsidRPr="00B6508C" w:rsidRDefault="00FC1773" w:rsidP="001A4FE8">
      <w:pPr>
        <w:jc w:val="center"/>
        <w:rPr>
          <w:rFonts w:ascii="Century Gothic" w:hAnsi="Century Gothic"/>
        </w:rPr>
      </w:pPr>
      <w:r w:rsidRPr="00B6508C">
        <w:rPr>
          <w:rFonts w:ascii="Century Gothic" w:hAnsi="Century Gothic"/>
        </w:rPr>
        <w:t xml:space="preserve">Definições </w:t>
      </w:r>
    </w:p>
    <w:p w14:paraId="72B49A4A" w14:textId="611C366C" w:rsid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Art. 3º - Para os efeitos do disposto </w:t>
      </w:r>
      <w:r w:rsidR="003556FF" w:rsidRPr="00B6508C">
        <w:rPr>
          <w:rFonts w:ascii="Century Gothic" w:hAnsi="Century Gothic"/>
        </w:rPr>
        <w:t>n</w:t>
      </w:r>
      <w:r w:rsidR="003556FF">
        <w:rPr>
          <w:rFonts w:ascii="Century Gothic" w:hAnsi="Century Gothic"/>
        </w:rPr>
        <w:t>esta Portaria</w:t>
      </w:r>
      <w:r w:rsidRPr="00B6508C">
        <w:rPr>
          <w:rFonts w:ascii="Century Gothic" w:hAnsi="Century Gothic"/>
        </w:rPr>
        <w:t xml:space="preserve">, considera-se: </w:t>
      </w:r>
    </w:p>
    <w:p w14:paraId="5C354A69" w14:textId="77BCBED0" w:rsid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I - Administração Pública </w:t>
      </w:r>
      <w:r w:rsidR="00150B57">
        <w:rPr>
          <w:rFonts w:ascii="Century Gothic" w:hAnsi="Century Gothic"/>
        </w:rPr>
        <w:t>Municipal</w:t>
      </w:r>
      <w:r w:rsidRPr="00B6508C">
        <w:rPr>
          <w:rFonts w:ascii="Century Gothic" w:hAnsi="Century Gothic"/>
        </w:rPr>
        <w:t xml:space="preserve">: </w:t>
      </w:r>
      <w:r w:rsidR="003556FF">
        <w:rPr>
          <w:rFonts w:ascii="Century Gothic" w:hAnsi="Century Gothic"/>
        </w:rPr>
        <w:t xml:space="preserve">administração Municipal do Poder Legislativo do Município de </w:t>
      </w:r>
      <w:r w:rsidR="00CF7C38">
        <w:rPr>
          <w:rFonts w:ascii="Century Gothic" w:hAnsi="Century Gothic"/>
        </w:rPr>
        <w:t>Argirita</w:t>
      </w:r>
      <w:r w:rsidRPr="00B6508C">
        <w:rPr>
          <w:rFonts w:ascii="Century Gothic" w:hAnsi="Century Gothic"/>
        </w:rPr>
        <w:t>;</w:t>
      </w:r>
    </w:p>
    <w:p w14:paraId="75767411" w14:textId="17B82334" w:rsid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II - Administração: órgão ou entidade por meio do qual a Administração Pública </w:t>
      </w:r>
      <w:r w:rsidR="00150B57">
        <w:rPr>
          <w:rFonts w:ascii="Century Gothic" w:hAnsi="Century Gothic"/>
        </w:rPr>
        <w:t xml:space="preserve">Municipal </w:t>
      </w:r>
      <w:r w:rsidRPr="00B6508C">
        <w:rPr>
          <w:rFonts w:ascii="Century Gothic" w:hAnsi="Century Gothic"/>
        </w:rPr>
        <w:t xml:space="preserve">atua; </w:t>
      </w:r>
    </w:p>
    <w:p w14:paraId="2EA71881" w14:textId="77777777" w:rsid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III – descumprimento de pequena relevância: descumprimento de obrigações ou deveres instrumentais ou formais que não impactam objetivamente na execução do contrato, bem como não causem prejuízos à Administração. </w:t>
      </w:r>
    </w:p>
    <w:p w14:paraId="3492CC21" w14:textId="3CF6C79D" w:rsid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IV – fornecedor: pessoa natural ou jurídica que tenha interesse em contratar com a Administração Pública </w:t>
      </w:r>
      <w:r w:rsidR="00150B57">
        <w:rPr>
          <w:rFonts w:ascii="Century Gothic" w:hAnsi="Century Gothic"/>
        </w:rPr>
        <w:t>Municipal</w:t>
      </w:r>
      <w:r w:rsidRPr="00B6508C">
        <w:rPr>
          <w:rFonts w:ascii="Century Gothic" w:hAnsi="Century Gothic"/>
        </w:rPr>
        <w:t xml:space="preserve">, ou que mantenha ou tenha mantido relação de fornecimento de bens ou prestação de serviços com a Administração Pública </w:t>
      </w:r>
      <w:r w:rsidR="00150B57">
        <w:rPr>
          <w:rFonts w:ascii="Century Gothic" w:hAnsi="Century Gothic"/>
        </w:rPr>
        <w:t>Municipal</w:t>
      </w:r>
      <w:r w:rsidRPr="00B6508C">
        <w:rPr>
          <w:rFonts w:ascii="Century Gothic" w:hAnsi="Century Gothic"/>
        </w:rPr>
        <w:t xml:space="preserve">; </w:t>
      </w:r>
    </w:p>
    <w:p w14:paraId="43F8690A" w14:textId="77777777" w:rsid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t xml:space="preserve">V – multa compensatória: aplicada nas hipóteses de descumprimento de obrigações contratuais, sendo estabelecida em razão do grau de importância da obrigação desatendida, na forma prevista em instrumento convocatório ou contrato, objetivando-se a compensação das eventuais perdas nas quais a Administração tenha incorrido. </w:t>
      </w:r>
    </w:p>
    <w:p w14:paraId="455920D8" w14:textId="6FC06BE7" w:rsidR="003466F0" w:rsidRPr="00B6508C" w:rsidRDefault="00FC1773" w:rsidP="00B6508C">
      <w:pPr>
        <w:spacing w:before="100" w:beforeAutospacing="1" w:after="100" w:afterAutospacing="1"/>
        <w:jc w:val="both"/>
        <w:rPr>
          <w:rFonts w:ascii="Century Gothic" w:hAnsi="Century Gothic"/>
        </w:rPr>
      </w:pPr>
      <w:r w:rsidRPr="00B6508C">
        <w:rPr>
          <w:rFonts w:ascii="Century Gothic" w:hAnsi="Century Gothic"/>
        </w:rPr>
        <w:lastRenderedPageBreak/>
        <w:t xml:space="preserve">VI – multa de mora: aplicada nas hipóteses de atraso injustificado na execução do contrato, na forma prevista em instrumento convocatório ou contrato, conforme art. 162 da Lei Federal nº 14.133, de 2021. </w:t>
      </w:r>
    </w:p>
    <w:p w14:paraId="4F874AD9" w14:textId="77777777" w:rsidR="003466F0" w:rsidRPr="00B6508C" w:rsidRDefault="00FC1773" w:rsidP="001A4FE8">
      <w:pPr>
        <w:jc w:val="center"/>
        <w:rPr>
          <w:rFonts w:ascii="Century Gothic" w:hAnsi="Century Gothic"/>
        </w:rPr>
      </w:pPr>
      <w:r w:rsidRPr="00B6508C">
        <w:rPr>
          <w:rFonts w:ascii="Century Gothic" w:hAnsi="Century Gothic"/>
        </w:rPr>
        <w:t xml:space="preserve">CAPÍTULO II </w:t>
      </w:r>
    </w:p>
    <w:p w14:paraId="3DA7CCB8" w14:textId="77777777" w:rsidR="003466F0" w:rsidRPr="00B6508C" w:rsidRDefault="00FC1773" w:rsidP="001A4FE8">
      <w:pPr>
        <w:jc w:val="center"/>
        <w:rPr>
          <w:rFonts w:ascii="Century Gothic" w:hAnsi="Century Gothic"/>
        </w:rPr>
      </w:pPr>
      <w:r w:rsidRPr="00B6508C">
        <w:rPr>
          <w:rFonts w:ascii="Century Gothic" w:hAnsi="Century Gothic"/>
        </w:rPr>
        <w:t xml:space="preserve">DAS INFRAÇÕES E SANÇÕES ADMINISTRATIVAS </w:t>
      </w:r>
    </w:p>
    <w:p w14:paraId="779E0EB7"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4º - Ao fornecedor responsável pelas infrações administrativas dispostas no art. 155 da Lei Federal nº 14.133, de 2021, serão aplicadas as seguintes sanções, observado o devido processo legal e assegurados o contraditório e a ampla defesa: </w:t>
      </w:r>
    </w:p>
    <w:p w14:paraId="079D961E"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 - advertência; </w:t>
      </w:r>
    </w:p>
    <w:p w14:paraId="3E4A3367"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 – multa; </w:t>
      </w:r>
    </w:p>
    <w:p w14:paraId="60B82CB4"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 compensatória; </w:t>
      </w:r>
    </w:p>
    <w:p w14:paraId="216E3FA8"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b) de mora. </w:t>
      </w:r>
    </w:p>
    <w:p w14:paraId="3E404C5D"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III – impedimento de licitar e contratar; </w:t>
      </w:r>
    </w:p>
    <w:p w14:paraId="7711A20A"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IV – declaração de inidoneidade para licitar ou contratar. </w:t>
      </w:r>
    </w:p>
    <w:p w14:paraId="754FFD67" w14:textId="1CE9A12B"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 1º - A aplicação de multa de mora não impedirá que a Administração a converta em compensatória e promova a extinção unilateral do contrato com a aplicação cumulada de outras sanções previstas </w:t>
      </w:r>
      <w:r w:rsidR="003556FF" w:rsidRPr="00B6508C">
        <w:rPr>
          <w:rFonts w:ascii="Century Gothic" w:hAnsi="Century Gothic"/>
        </w:rPr>
        <w:t>n</w:t>
      </w:r>
      <w:r w:rsidR="003556FF">
        <w:rPr>
          <w:rFonts w:ascii="Century Gothic" w:hAnsi="Century Gothic"/>
        </w:rPr>
        <w:t>esta Portaria</w:t>
      </w:r>
      <w:r w:rsidRPr="00B6508C">
        <w:rPr>
          <w:rFonts w:ascii="Century Gothic" w:hAnsi="Century Gothic"/>
        </w:rPr>
        <w:t xml:space="preserve">. </w:t>
      </w:r>
    </w:p>
    <w:p w14:paraId="153F8EEA"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 2º - As sanções previstas nos incisos I, III e IV do caput deste artigo poderão ser aplicadas cumulativamente com a prevista no inciso II, alínea “a” do caput deste artigo. </w:t>
      </w:r>
    </w:p>
    <w:p w14:paraId="207BEB24"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5º - A sanção de advertência será aplicada como instrumento de diálogo e correção de conduta nas seguintes hipóteses, quando não se justificar a imposição de penalidade mais grave: </w:t>
      </w:r>
    </w:p>
    <w:p w14:paraId="7722C54F"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 – descumprimento de pequena relevância; </w:t>
      </w:r>
    </w:p>
    <w:p w14:paraId="53AE3AFA"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 – inexecução parcial de obrigação contratual. </w:t>
      </w:r>
    </w:p>
    <w:p w14:paraId="10B3CA82"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6º - A sanção de multa compensatória será aplicada ao responsável por qualquer das infrações administrativas previstas no art. 155 da Lei Federal nº 14.133, de 2021, calculada na forma prevista no instrumento convocatório ou no contrato, não podendo ser inferior a 0,5% (cinco décimos por cento) nem superior a 30% (trinta por cento) do valor contratado, observando-se os seguintes parâmetros: </w:t>
      </w:r>
    </w:p>
    <w:p w14:paraId="4B710124"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 - de 0,5% (cinco décimos por cento) a 1% (um por cento) do valor contratado, para aquele que: a) deixar de entregar a documentação exigida para o certame; b) não mantiver a proposta, salvo em decorrência de fato superveniente devidamente justificado; </w:t>
      </w:r>
    </w:p>
    <w:p w14:paraId="0EB1F597"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 - 10% (dez por cento) sobre o valor contratado, em caso de recusa do adjudicatário em efetuar o reforço de garantia contratual; </w:t>
      </w:r>
    </w:p>
    <w:p w14:paraId="6BB3D30A"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lastRenderedPageBreak/>
        <w:t xml:space="preserve">III - 20% (vinte por cento) sobre o valor da parcela do objeto não executada, em caso de inexecução parcial do contrato; </w:t>
      </w:r>
    </w:p>
    <w:p w14:paraId="5EFD05DF"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IV - 20% (vinte por cento) sobre o valor contratado, em caso de: </w:t>
      </w:r>
    </w:p>
    <w:p w14:paraId="79E62A64"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 apresentação de declaração ou documentação falsa exigida para o certame ou declaração falsa durante a licitação ou a execução do contrato; </w:t>
      </w:r>
    </w:p>
    <w:p w14:paraId="559ED8EF" w14:textId="2BD733AC"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b) fraude à licitação ou prática de ato fraudulento na execução do contrato; </w:t>
      </w:r>
    </w:p>
    <w:p w14:paraId="6252ED0D"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c) comportamento inidôneo ou fraude de qualquer natureza; </w:t>
      </w:r>
    </w:p>
    <w:p w14:paraId="63C8157D"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d) prática de atos ilícitos com vistas a frustrar os objetivos da licitação; </w:t>
      </w:r>
    </w:p>
    <w:p w14:paraId="15C5A9A3" w14:textId="225CF8F8"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e) prática de ato lesivo previsto no art. 5º da Lei nº 12.846, de 1º de agosto de 2013. f) entrega de objeto com vícios ou defeitos ocultos que o torne impróprio ao uso a que é destinado, ou diminuam-lhe o valor ou, ainda, fora das especificações contratadas; </w:t>
      </w:r>
    </w:p>
    <w:p w14:paraId="18F5B67B"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g) dar causa à inexecução parcial do contrato que cause grave dano à Administração, ao funcionamento dos serviços públicos ou ao interesse coletivo; </w:t>
      </w:r>
    </w:p>
    <w:p w14:paraId="613B5BED"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h) dar causa à inexecução total do objeto do contrato. </w:t>
      </w:r>
    </w:p>
    <w:p w14:paraId="3D47EC16"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Parágrafo único - Naqueles contratos que ainda não foram celebrados, o percentual de que trata o caput e seus incisos para cálculo da multa compensatória incidirá sobre o valor estimado da contratação, calculado conforme regulamento estadual. </w:t>
      </w:r>
    </w:p>
    <w:p w14:paraId="1F42654E"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7º - O valor da multa de mora ou compensatória aplicada será: </w:t>
      </w:r>
    </w:p>
    <w:p w14:paraId="7E57CB1E"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 – retido dos pagamentos devidos pelo órgão ou entidade, inclusive pagamentos decorrentes de outros contratos firmados com o contratado; </w:t>
      </w:r>
    </w:p>
    <w:p w14:paraId="7FE2B655"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 – descontado do valor da garantia prestada; </w:t>
      </w:r>
    </w:p>
    <w:p w14:paraId="5877AAB8" w14:textId="28C38B68"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III – pago por meio de Documento de Arrecadação; ou </w:t>
      </w:r>
    </w:p>
    <w:p w14:paraId="1CBC681A"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IV – cobrado judicialmente. </w:t>
      </w:r>
    </w:p>
    <w:p w14:paraId="2B685947" w14:textId="53387F34"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8º – Será aplicada a sanção de impedimento de licitar e contratar com a Administração Pública, pelo prazo máximo de três anos, quando não se justificar a imposição de penalidade mais grave, observando-se os parâmetros estabelecidos, aos responsáveis pelas seguintes infrações: </w:t>
      </w:r>
    </w:p>
    <w:p w14:paraId="709FEA69"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 - dar causa à inexecução parcial do contrato que cause grave dano à Administração, ao funcionamento dos serviços públicos ou ao interesse coletivo: Pena - impedimento pelo período de até dois anos. </w:t>
      </w:r>
    </w:p>
    <w:p w14:paraId="6DF63F95" w14:textId="77777777" w:rsidR="006217C4"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 - dar causa à inexecução total do contrato: Pena - impedimento pelo período de até três anos. </w:t>
      </w:r>
    </w:p>
    <w:p w14:paraId="636B3C68" w14:textId="04528CF5"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III - deixar de entregar a documentação exigida para o certame: Pena - impedimento pelo período de até dois meses. </w:t>
      </w:r>
    </w:p>
    <w:p w14:paraId="30593BEB"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lastRenderedPageBreak/>
        <w:t xml:space="preserve">IV - não manter a proposta, salvo em decorrência de fato superveniente devidamente justificado: Pena - impedimento pelo período de até quatro meses. </w:t>
      </w:r>
    </w:p>
    <w:p w14:paraId="79F18650"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V - não celebrar o contrato ou não entregar a documentação exigida para a contratação, quando convocado dentro do prazo de validade de sua proposta: Pena - impedimento pelo período de até quatro meses. </w:t>
      </w:r>
    </w:p>
    <w:p w14:paraId="2E832152"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VI - ensejar o retardamento da execução ou da entrega do objeto da licitação sem motivo justificado. Pena - impedimento pelo período de até um ano. </w:t>
      </w:r>
    </w:p>
    <w:p w14:paraId="1F0A51D9" w14:textId="1EABD5EC"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9º - Será aplicada a sanção de declaração de inidoneidade para licitar e contratar com a Administração Pública direta e indireta, de todos os entes federativos, pelo prazo mínimo de três anos e máximo de seis anos, </w:t>
      </w:r>
      <w:r w:rsidR="008E3760" w:rsidRPr="00B6508C">
        <w:rPr>
          <w:rFonts w:ascii="Century Gothic" w:hAnsi="Century Gothic"/>
        </w:rPr>
        <w:t>observando-se</w:t>
      </w:r>
      <w:r w:rsidRPr="00B6508C">
        <w:rPr>
          <w:rFonts w:ascii="Century Gothic" w:hAnsi="Century Gothic"/>
        </w:rPr>
        <w:t xml:space="preserve"> os parâmetros estabelecidos, aos responsáveis pelas seguintes infrações: </w:t>
      </w:r>
    </w:p>
    <w:p w14:paraId="1E82C4F1"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 - apresentar declaração ou documentação falsa exigida para o certame ou prestar declaração falsa durante a licitação ou a execução do contrato: Pena – até quatro anos. </w:t>
      </w:r>
    </w:p>
    <w:p w14:paraId="3E344E6F"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 - fraudar a licitação ou praticar ato fraudulento na execução do contrato: Pena – até seis anos. </w:t>
      </w:r>
    </w:p>
    <w:p w14:paraId="7646AE2D" w14:textId="1094F980"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III - comportar-se de modo inidôneo ou cometer fraude de qualquer natureza: Pena – até seis anos. </w:t>
      </w:r>
    </w:p>
    <w:p w14:paraId="7C4E41A0" w14:textId="77777777" w:rsidR="003466F0"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IV - praticar atos ilícitos com vistas a frustrar os objetivos da licitação: Pena – até cinco anos. </w:t>
      </w:r>
    </w:p>
    <w:p w14:paraId="7D10B2B2" w14:textId="77777777" w:rsidR="008E3760"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V - praticar ato lesivo previsto no art. 5º da Lei Federal nº 12.846, de 1º de agosto de 2013: Pena – até seis anos. </w:t>
      </w:r>
    </w:p>
    <w:p w14:paraId="01C4FC72" w14:textId="6BE7793B" w:rsidR="00D43C7E"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Parágrafo único - Será aplicada a sanção de declaração de inidoneidade para licitar e contratar com a Administração Pública direta e indireta, de todos os entes federativos, no caso das infrações previstas no art. 8º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pelo prazo máximo de seis anos, quando se justificar a imposição de penalidade mais grave. </w:t>
      </w:r>
    </w:p>
    <w:p w14:paraId="37D0B035" w14:textId="77777777" w:rsidR="00D43C7E" w:rsidRPr="00B6508C" w:rsidRDefault="00FC1773" w:rsidP="00B662D0">
      <w:pPr>
        <w:spacing w:before="100" w:beforeAutospacing="1" w:after="100" w:afterAutospacing="1"/>
        <w:jc w:val="both"/>
        <w:rPr>
          <w:rFonts w:ascii="Century Gothic" w:hAnsi="Century Gothic"/>
        </w:rPr>
      </w:pPr>
      <w:r w:rsidRPr="00B6508C">
        <w:rPr>
          <w:rFonts w:ascii="Century Gothic" w:hAnsi="Century Gothic"/>
        </w:rPr>
        <w:t xml:space="preserve">Art. 10 - A aplicação da declaração de inidoneidade para licitar e contratar com a Administração Pública direta e indireta deve ser precedida de análise jurídica e será de competência exclusiva da autoridade máxima do órgão ou entidade. </w:t>
      </w:r>
    </w:p>
    <w:p w14:paraId="5D1627A4"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11 - O cometimento de mais de uma infração em uma mesma licitação ou relação contratual sujeitará o infrator à sanção cabível para a mais grave entre elas, ou se iguais, somente uma delas, sopesando-se, em qualquer caso, as demais infrações como circunstância agravante. </w:t>
      </w:r>
    </w:p>
    <w:p w14:paraId="680945D3"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1º - Não se aplica a regra prevista no caput se já houver ocorrido o julgamento ou, pelo estágio processual, revelar-se inconveniente a avaliação conjunta dos fatos. </w:t>
      </w:r>
    </w:p>
    <w:p w14:paraId="63B0AF74"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2º - O disposto no caput desse artigo não afasta a possibilidade de aplicação da pena de multa compensatória cumulativamente à sanção mais grave. </w:t>
      </w:r>
    </w:p>
    <w:p w14:paraId="39640494" w14:textId="19BC3101"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12 - Na aplicação das sanções, a Administração Pública deve observar: </w:t>
      </w:r>
    </w:p>
    <w:p w14:paraId="178D7499" w14:textId="28BEC3A3"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lastRenderedPageBreak/>
        <w:t xml:space="preserve">I - a natureza e a gravidade da infração cometida; </w:t>
      </w:r>
    </w:p>
    <w:p w14:paraId="75C6D838" w14:textId="200C6BBA"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as peculiaridades do caso concreto; </w:t>
      </w:r>
    </w:p>
    <w:p w14:paraId="5FB156F5"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III - as circunstâncias agravantes ou atenuantes; </w:t>
      </w:r>
    </w:p>
    <w:p w14:paraId="0B964CC9" w14:textId="1C03FA98"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IV - os danos que dela provierem para a Administração, para o funcionamento dos serviços públicos ou para o interesse coletivo; </w:t>
      </w:r>
    </w:p>
    <w:p w14:paraId="0C8DD90B"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V - a implantação ou o aperfeiçoamento de programa de integridade pelo responsável pela infração, conforme normas e orientações dos órgãos de controle; </w:t>
      </w:r>
    </w:p>
    <w:p w14:paraId="0E4A70AC"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1º - São circunstâncias agravantes: </w:t>
      </w:r>
    </w:p>
    <w:p w14:paraId="48DA47F8"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a prática da infração com violação de dever inerente a cargo, ofício ou profissão; </w:t>
      </w:r>
    </w:p>
    <w:p w14:paraId="6CBC2318" w14:textId="089B4CB4"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o conluio entre fornecedores para a prática da infração; </w:t>
      </w:r>
    </w:p>
    <w:p w14:paraId="1425D9A8"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III – a apresentação de documento falso no curso do processo administrativo de apuração de responsabilidade; </w:t>
      </w:r>
    </w:p>
    <w:p w14:paraId="3958B27E" w14:textId="3161E89F"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IV – a reincidência. </w:t>
      </w:r>
    </w:p>
    <w:p w14:paraId="2601D45A" w14:textId="28EF1766"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V – a prática de qualquer de infrações absorvidas, na forma do disposto no art. 11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w:t>
      </w:r>
    </w:p>
    <w:p w14:paraId="7913E561" w14:textId="0B53B98C"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2º - Verifica-se a reincidência quando o acusado comete nova infração, depois de condenado definitivamente por infração anterior. </w:t>
      </w:r>
    </w:p>
    <w:p w14:paraId="364DCF44"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3º - Para efeito de reincidência: </w:t>
      </w:r>
    </w:p>
    <w:p w14:paraId="626E401C"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considera-se a decisão proferida no âmbito da Administração Pública direta e indireta de todos os entes federativos, se imposta a pena de declaração de inidoneidade de licitar e contratar; </w:t>
      </w:r>
    </w:p>
    <w:p w14:paraId="662FFCC0"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não prevalece </w:t>
      </w:r>
      <w:proofErr w:type="gramStart"/>
      <w:r w:rsidRPr="00B6508C">
        <w:rPr>
          <w:rFonts w:ascii="Century Gothic" w:hAnsi="Century Gothic"/>
        </w:rPr>
        <w:t>a</w:t>
      </w:r>
      <w:proofErr w:type="gramEnd"/>
      <w:r w:rsidRPr="00B6508C">
        <w:rPr>
          <w:rFonts w:ascii="Century Gothic" w:hAnsi="Century Gothic"/>
        </w:rPr>
        <w:t xml:space="preserve"> condenação anterior, se entre a data da publicação da decisão definitiva dessa e a do cometimento da nova infração tiver decorrido período de tempo superior a cinco anos; </w:t>
      </w:r>
    </w:p>
    <w:p w14:paraId="575DC5F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III – não se verifica, se tiver ocorrido a reabilitação em relação a infração anterior. </w:t>
      </w:r>
    </w:p>
    <w:p w14:paraId="15C74745"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4º - São circunstâncias atenuantes: </w:t>
      </w:r>
    </w:p>
    <w:p w14:paraId="1326A1E2" w14:textId="4C1D2954"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a primariedade; </w:t>
      </w:r>
    </w:p>
    <w:p w14:paraId="1389FCE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procurar evitar ou minorar as consequências da infração antes do julgamento; </w:t>
      </w:r>
    </w:p>
    <w:p w14:paraId="1E2A719F"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III – reparar o dano antes do julgamento; </w:t>
      </w:r>
    </w:p>
    <w:p w14:paraId="3AAE3118"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IV – confessar a autoria da infração. </w:t>
      </w:r>
    </w:p>
    <w:p w14:paraId="1DD678AA"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lastRenderedPageBreak/>
        <w:t xml:space="preserve">§ 5º - Considera-se primário aquele que não tenha sido condenado definitivamente por infração administrativa prevista em lei ou já tenha sido reabilitado. </w:t>
      </w:r>
    </w:p>
    <w:p w14:paraId="72BD5101" w14:textId="77777777" w:rsidR="00D43C7E" w:rsidRPr="00B6508C" w:rsidRDefault="00FC1773" w:rsidP="001A4FE8">
      <w:pPr>
        <w:jc w:val="center"/>
        <w:rPr>
          <w:rFonts w:ascii="Century Gothic" w:hAnsi="Century Gothic"/>
        </w:rPr>
      </w:pPr>
      <w:r w:rsidRPr="00B6508C">
        <w:rPr>
          <w:rFonts w:ascii="Century Gothic" w:hAnsi="Century Gothic"/>
        </w:rPr>
        <w:t xml:space="preserve">CAPÍTULO III </w:t>
      </w:r>
    </w:p>
    <w:p w14:paraId="2A7DF030" w14:textId="77777777" w:rsidR="00D43C7E" w:rsidRPr="00B6508C" w:rsidRDefault="00FC1773" w:rsidP="001A4FE8">
      <w:pPr>
        <w:jc w:val="center"/>
        <w:rPr>
          <w:rFonts w:ascii="Century Gothic" w:hAnsi="Century Gothic"/>
        </w:rPr>
      </w:pPr>
      <w:r w:rsidRPr="00B6508C">
        <w:rPr>
          <w:rFonts w:ascii="Century Gothic" w:hAnsi="Century Gothic"/>
        </w:rPr>
        <w:t xml:space="preserve">DO PROCESSO ADMINISTRATIVO PUNITIVO </w:t>
      </w:r>
    </w:p>
    <w:p w14:paraId="51BF8837" w14:textId="77777777" w:rsidR="00D43C7E" w:rsidRPr="00B6508C" w:rsidRDefault="00FC1773" w:rsidP="001A4FE8">
      <w:pPr>
        <w:jc w:val="center"/>
        <w:rPr>
          <w:rFonts w:ascii="Century Gothic" w:hAnsi="Century Gothic"/>
        </w:rPr>
      </w:pPr>
      <w:r w:rsidRPr="00B6508C">
        <w:rPr>
          <w:rFonts w:ascii="Century Gothic" w:hAnsi="Century Gothic"/>
        </w:rPr>
        <w:t xml:space="preserve">Seção I </w:t>
      </w:r>
    </w:p>
    <w:p w14:paraId="22A1C61C" w14:textId="77777777" w:rsidR="00D43C7E" w:rsidRPr="00B6508C" w:rsidRDefault="00FC1773" w:rsidP="001A4FE8">
      <w:pPr>
        <w:jc w:val="center"/>
        <w:rPr>
          <w:rFonts w:ascii="Century Gothic" w:hAnsi="Century Gothic"/>
        </w:rPr>
      </w:pPr>
      <w:r w:rsidRPr="00B6508C">
        <w:rPr>
          <w:rFonts w:ascii="Century Gothic" w:hAnsi="Century Gothic"/>
        </w:rPr>
        <w:t xml:space="preserve">Da instauração do processo administrativo punitivo </w:t>
      </w:r>
    </w:p>
    <w:p w14:paraId="771FB43E"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13 - Constatada a ocorrência de infração administrativa disposta no art. 155 da Lei Federal nº 14.133, de 2021, o agente público responsável pela licitação ou pela gestão do contrato deverá: </w:t>
      </w:r>
    </w:p>
    <w:p w14:paraId="252267FF" w14:textId="33FC74F5"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notificar o fornecedor para apresentar justificativa e providências para a correção da irregularidade no prazo de dois dias úteis; </w:t>
      </w:r>
    </w:p>
    <w:p w14:paraId="4E2B6573" w14:textId="311C48D2"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analisar a justificativa de que trata o inciso I do caput. </w:t>
      </w:r>
    </w:p>
    <w:p w14:paraId="2F7D5C76" w14:textId="201C0012"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14 – Rejeitada a justificativa de que tratam os incisos I e II do art. 13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o agente público responsável pela licitação ou gestão do contrato emitirá parecer técnico fundamentado, ou documento equivalente, e o encaminhará ao respectivo Ordenador de Despesas. </w:t>
      </w:r>
    </w:p>
    <w:p w14:paraId="767B246D"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Parágrafo único – O parecer técnico fundamentado ou documento equivalente de que trata o caput deverá conter os dados de identificação do fornecedor, a descrição da infração constatada e a sanção correspondente, conforme dispositivos legais, regulamentares e contratuais. </w:t>
      </w:r>
    </w:p>
    <w:p w14:paraId="188FD36F" w14:textId="6760B60B"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15 – O ordenador de despesas deverá realizar juízo de admissibilidade relativo ao parecer técnico fundamentado de que trata o art. 14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com vistas a: </w:t>
      </w:r>
    </w:p>
    <w:p w14:paraId="35950597"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avaliar se é cabível a instauração de processo administrativo punitivo; </w:t>
      </w:r>
    </w:p>
    <w:p w14:paraId="0E376D90"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tomar medidas administrativas de saneamento para a mitigação de riscos de nova ocorrência na hipótese de simples impropriedade formal. </w:t>
      </w:r>
    </w:p>
    <w:p w14:paraId="7479FED0" w14:textId="07150DE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16 - Admitido o juízo de admissibilidade de que trata o art. 15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o ordenador de despesas deverá instaurar processo administrativo punitivo, </w:t>
      </w:r>
      <w:r w:rsidR="008E3760">
        <w:rPr>
          <w:rFonts w:ascii="Century Gothic" w:hAnsi="Century Gothic"/>
        </w:rPr>
        <w:t>podendo ser</w:t>
      </w:r>
      <w:r w:rsidRPr="00B6508C">
        <w:rPr>
          <w:rFonts w:ascii="Century Gothic" w:hAnsi="Century Gothic"/>
        </w:rPr>
        <w:t xml:space="preserve"> por meio eletrônico. </w:t>
      </w:r>
    </w:p>
    <w:p w14:paraId="0BAA6333" w14:textId="77777777" w:rsidR="00D43C7E" w:rsidRPr="00B6508C" w:rsidRDefault="00FC1773" w:rsidP="001A4FE8">
      <w:pPr>
        <w:jc w:val="center"/>
        <w:rPr>
          <w:rFonts w:ascii="Century Gothic" w:hAnsi="Century Gothic"/>
        </w:rPr>
      </w:pPr>
      <w:r w:rsidRPr="00B6508C">
        <w:rPr>
          <w:rFonts w:ascii="Century Gothic" w:hAnsi="Century Gothic"/>
        </w:rPr>
        <w:t xml:space="preserve">Seção II </w:t>
      </w:r>
    </w:p>
    <w:p w14:paraId="47FDC3EC" w14:textId="77777777" w:rsidR="00D43C7E" w:rsidRPr="00B6508C" w:rsidRDefault="00FC1773" w:rsidP="001A4FE8">
      <w:pPr>
        <w:jc w:val="center"/>
        <w:rPr>
          <w:rFonts w:ascii="Century Gothic" w:hAnsi="Century Gothic"/>
        </w:rPr>
      </w:pPr>
      <w:r w:rsidRPr="00B6508C">
        <w:rPr>
          <w:rFonts w:ascii="Century Gothic" w:hAnsi="Century Gothic"/>
        </w:rPr>
        <w:t xml:space="preserve">Da condução do processo administrativo punitivo </w:t>
      </w:r>
    </w:p>
    <w:p w14:paraId="007BC9C7"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17 - O processo administrativo punitivo deverá ser conduzido por comissão processante composta por dois ou mais servidores estáveis. </w:t>
      </w:r>
    </w:p>
    <w:p w14:paraId="028F14A9"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1º - O processo administrativo punitivo para apuração de infrações que impliquem apenas nas sanções de advertência ou multa poderá ser conduzido por servidor efetivo ou empregado público designado. </w:t>
      </w:r>
    </w:p>
    <w:p w14:paraId="2D57AA9D" w14:textId="46C9CE3E"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2º - Em órgão ou entidade da Administração Pública </w:t>
      </w:r>
      <w:r w:rsidR="008E3760">
        <w:rPr>
          <w:rFonts w:ascii="Century Gothic" w:hAnsi="Century Gothic"/>
        </w:rPr>
        <w:t>Municipal</w:t>
      </w:r>
      <w:r w:rsidRPr="00B6508C">
        <w:rPr>
          <w:rFonts w:ascii="Century Gothic" w:hAnsi="Century Gothic"/>
        </w:rPr>
        <w:t xml:space="preserve"> cujo quadro funcional não seja formado de servidores estatutários, a comissão a que se refere o caput será composta de dois ou mais empregados públicos pertencentes aos seus quadros </w:t>
      </w:r>
      <w:r w:rsidRPr="00B6508C">
        <w:rPr>
          <w:rFonts w:ascii="Century Gothic" w:hAnsi="Century Gothic"/>
        </w:rPr>
        <w:lastRenderedPageBreak/>
        <w:t xml:space="preserve">permanentes, preferencialmente com, no mínimo, três anos de tempo de serviço no órgão ou unidade. </w:t>
      </w:r>
    </w:p>
    <w:p w14:paraId="0446D0B5" w14:textId="4E5B9766"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3º - Os </w:t>
      </w:r>
      <w:r w:rsidR="00B5335C">
        <w:rPr>
          <w:rFonts w:ascii="Century Gothic" w:hAnsi="Century Gothic"/>
        </w:rPr>
        <w:t>Setores</w:t>
      </w:r>
      <w:r w:rsidRPr="00B6508C">
        <w:rPr>
          <w:rFonts w:ascii="Century Gothic" w:hAnsi="Century Gothic"/>
        </w:rPr>
        <w:t xml:space="preserve"> da Administração Pública </w:t>
      </w:r>
      <w:r w:rsidR="008E3760">
        <w:rPr>
          <w:rFonts w:ascii="Century Gothic" w:hAnsi="Century Gothic"/>
        </w:rPr>
        <w:t xml:space="preserve">Municipal </w:t>
      </w:r>
      <w:r w:rsidRPr="00B6508C">
        <w:rPr>
          <w:rFonts w:ascii="Century Gothic" w:hAnsi="Century Gothic"/>
        </w:rPr>
        <w:t xml:space="preserve">poderão estabelecer em regulamento específico a atuação de comissões processantes permanentes. </w:t>
      </w:r>
    </w:p>
    <w:p w14:paraId="36DA4B28"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18 – A comissão processante poderá solicitar a colaboração de outros órgãos para a instrução processual. </w:t>
      </w:r>
    </w:p>
    <w:p w14:paraId="6A660499"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19 – Iniciado o processo administrativo punitivo, o responsável pela sua condução ou a comissão processante deverá intimar o fornecedor para, no prazo de 15 dias úteis, contado da data da intimação, apresentar defesa escrita e especificar as provas que pretende produzir. </w:t>
      </w:r>
    </w:p>
    <w:p w14:paraId="3570943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1º - A notificação de intimação conterá, no mínimo, a descrição dos fatos imputados, o dispositivo pertinente à infração, a identificação do fornecedor ou os elementos pelos quais se possa identificá-lo. </w:t>
      </w:r>
    </w:p>
    <w:p w14:paraId="7323BB50"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2º - A notificação a que se refere o § 1º do caput será enviada por uma das formas abaixo, observando-se a ordem de preferência: </w:t>
      </w:r>
    </w:p>
    <w:p w14:paraId="221A3D36" w14:textId="3AF20E84"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envio ao endereço eletrônico dos representantes credenciados ou do fornecedor cadastrado, com comprovante de recebimento, ou: </w:t>
      </w:r>
    </w:p>
    <w:p w14:paraId="71F32B3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envio pelo correio, com aviso de recebimento, ou; </w:t>
      </w:r>
    </w:p>
    <w:p w14:paraId="0C1DFCAA"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III - entregue ao fornecedor mediante recibo, ou; </w:t>
      </w:r>
    </w:p>
    <w:p w14:paraId="4F8C09B3"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IV - publicação no Diário Oficial, quando começará a contar o prazo de 15 dias úteis para apresentação de defesa prévia. </w:t>
      </w:r>
    </w:p>
    <w:p w14:paraId="694D739D"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Parágrafo único – Em observância ao disposto no § 4º do art. 137 da Lei Federal nº 14.133, de 2021, os emitentes das garantias de contratações de obras, serviços e fornecimentos deverão ser notificados pelo contratante quanto ao início de processo administrativo punitivo. </w:t>
      </w:r>
    </w:p>
    <w:p w14:paraId="095DEB64"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20 - Serão indeferidas pela comissão processante ou pelo responsável pela condução do processo administrativo punitivo, mediante decisão fundamentada, provas ilícitas, impertinentes, desnecessárias, protelatórias ou intempestivas. </w:t>
      </w:r>
    </w:p>
    <w:p w14:paraId="1795F95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21 - Na hipótese de deferimento de pedido de produção de novas provas ou de juntada de provas julgadas indispensáveis pela comissão, o fornecedor poderá apresentar alegações finais no prazo de 15 dias úteis, contado da data da intimação. </w:t>
      </w:r>
    </w:p>
    <w:p w14:paraId="2D7C6A4F"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22 – A comissão processante ou o responsável pela condução do processo administrativo punitivo deverá elaborar e remeter ao ordenador de despesas relatório final conclusivo quanto à inocência ou à responsabilidade do fornecedor, que contenha: </w:t>
      </w:r>
    </w:p>
    <w:p w14:paraId="3FFD59EA"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os fatos analisados; </w:t>
      </w:r>
    </w:p>
    <w:p w14:paraId="47A67CDE"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w:t>
      </w:r>
      <w:proofErr w:type="gramStart"/>
      <w:r w:rsidRPr="00B6508C">
        <w:rPr>
          <w:rFonts w:ascii="Century Gothic" w:hAnsi="Century Gothic"/>
        </w:rPr>
        <w:t>os dispositivos legais, regulamentares e contratuais infringidos, se for</w:t>
      </w:r>
      <w:proofErr w:type="gramEnd"/>
      <w:r w:rsidRPr="00B6508C">
        <w:rPr>
          <w:rFonts w:ascii="Century Gothic" w:hAnsi="Century Gothic"/>
        </w:rPr>
        <w:t xml:space="preserve"> o caso; </w:t>
      </w:r>
    </w:p>
    <w:p w14:paraId="0155DD9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lastRenderedPageBreak/>
        <w:t xml:space="preserve">III – a análise das manifestações de defesa apresentadas, se for o caso. </w:t>
      </w:r>
    </w:p>
    <w:p w14:paraId="6C58A155"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IV – as sanções a que está sujeito o fornecedor, se for o caso; </w:t>
      </w:r>
    </w:p>
    <w:p w14:paraId="60649D6B"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1º - O relatório de que trata o caput poderá propor a absolvição por insuficiência de provas quanto à autoria e ou materialidade. </w:t>
      </w:r>
    </w:p>
    <w:p w14:paraId="59B5844B" w14:textId="2B6964E2"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2º - O relatório de que trata o caput poderá conter sugestões sobre medidas que podem ser adotadas pela Administração Pública </w:t>
      </w:r>
      <w:r w:rsidR="008E3760">
        <w:rPr>
          <w:rFonts w:ascii="Century Gothic" w:hAnsi="Century Gothic"/>
        </w:rPr>
        <w:t>Municipal</w:t>
      </w:r>
      <w:r w:rsidRPr="00B6508C">
        <w:rPr>
          <w:rFonts w:ascii="Century Gothic" w:hAnsi="Century Gothic"/>
        </w:rPr>
        <w:t xml:space="preserve">, objetivando evitar a repetição de fatos ou irregularidades semelhantes aos apurados no processo administrativo punitivo. </w:t>
      </w:r>
    </w:p>
    <w:p w14:paraId="77CDD326" w14:textId="77777777" w:rsidR="00D43C7E" w:rsidRPr="00B6508C" w:rsidRDefault="00FC1773" w:rsidP="001A4FE8">
      <w:pPr>
        <w:jc w:val="center"/>
        <w:rPr>
          <w:rFonts w:ascii="Century Gothic" w:hAnsi="Century Gothic"/>
        </w:rPr>
      </w:pPr>
      <w:r w:rsidRPr="00B6508C">
        <w:rPr>
          <w:rFonts w:ascii="Century Gothic" w:hAnsi="Century Gothic"/>
        </w:rPr>
        <w:t xml:space="preserve">Seção III </w:t>
      </w:r>
    </w:p>
    <w:p w14:paraId="26CE3445" w14:textId="77777777" w:rsidR="00D43C7E" w:rsidRPr="00B6508C" w:rsidRDefault="00FC1773" w:rsidP="001A4FE8">
      <w:pPr>
        <w:jc w:val="center"/>
        <w:rPr>
          <w:rFonts w:ascii="Century Gothic" w:hAnsi="Century Gothic"/>
        </w:rPr>
      </w:pPr>
      <w:r w:rsidRPr="00B6508C">
        <w:rPr>
          <w:rFonts w:ascii="Century Gothic" w:hAnsi="Century Gothic"/>
        </w:rPr>
        <w:t xml:space="preserve">Da aplicação de sanção e fase recursal </w:t>
      </w:r>
    </w:p>
    <w:p w14:paraId="6152191E" w14:textId="57D7B334"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23 – O ordenador de despesas deverá proferir sua decisão, podendo acolher no todo, parcialmente, ou recusar as razões expostas no relatório final de que trata o art. 22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w:t>
      </w:r>
    </w:p>
    <w:p w14:paraId="357B6344" w14:textId="606E3532"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1º - O fornecedor será informado da decisão de que trata o caput por ofício, nos termos do § 2º do art. 19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abrindo-se prazo para apresentação de recurso ou pedido de reconsideração. </w:t>
      </w:r>
    </w:p>
    <w:p w14:paraId="165BFF02" w14:textId="5243E832"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 2º - Tratando-se da sanção de declaração de inidoneidade para licitar e contratar com a Administração Pública, o ordenador de despesas fundamentará seu entendimento e encaminhará o processo para manifestação jurídica e posteriormente para autoridade máxima do órgão ou entidade, conforme o disposto no art. 10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que: </w:t>
      </w:r>
    </w:p>
    <w:p w14:paraId="4F8CB355" w14:textId="6252A3CD"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 - decidirá entre o acolhimento da defesa do fornecedor ou a aplicação da sanção; </w:t>
      </w:r>
      <w:proofErr w:type="gramStart"/>
      <w:r w:rsidRPr="00B6508C">
        <w:rPr>
          <w:rFonts w:ascii="Century Gothic" w:hAnsi="Century Gothic"/>
        </w:rPr>
        <w:t>e</w:t>
      </w:r>
      <w:proofErr w:type="gramEnd"/>
      <w:r w:rsidRPr="00B6508C">
        <w:rPr>
          <w:rFonts w:ascii="Century Gothic" w:hAnsi="Century Gothic"/>
        </w:rPr>
        <w:t xml:space="preserve"> </w:t>
      </w:r>
    </w:p>
    <w:p w14:paraId="24BBB1F9" w14:textId="1762D288"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II - publicará o extrato da decisão no Diário Oficial. </w:t>
      </w:r>
    </w:p>
    <w:p w14:paraId="6176CB62"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24 - Da decisão que aplica as penalidades de advertência, multa e impedimento de licitar e contratar caberá recurso no prazo de 15 dias úteis, contado da data da intimação. </w:t>
      </w:r>
    </w:p>
    <w:p w14:paraId="3A0EC36C"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25 - Da decisão que aplica a penalidade de declaração de inidoneidade para licitar ou contratar caberá apenas pedido de reconsideração a ser apresentado no prazo de 15 dias úteis, contado da data do recebimento da intimação. </w:t>
      </w:r>
    </w:p>
    <w:p w14:paraId="3A1BC61F"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26 - O recurso e o pedido de reconsideração terão efeito suspensivo do ato ou da decisão recorrida até que sobrevenha decisão final da autoridade competente. </w:t>
      </w:r>
    </w:p>
    <w:p w14:paraId="6381B8C8"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27 - O recurso será dirigido à autoridade que tiver proferido a decisão recorrida, que, se não reconsiderar a decisão no prazo de cinco dias úteis, encaminhará o recurso com sua motivação à autoridade superior, a qual deverá proferir sua decisão no prazo máximo de 20 dias úteis, contado do recebimento dos autos. </w:t>
      </w:r>
    </w:p>
    <w:p w14:paraId="36BED378"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28 - O pedido de reconsideração será decidido no prazo máximo de 20 dias úteis, contado do seu recebimento. </w:t>
      </w:r>
    </w:p>
    <w:p w14:paraId="5486749D" w14:textId="77777777" w:rsidR="00D43C7E" w:rsidRPr="00B6508C" w:rsidRDefault="00FC1773" w:rsidP="001A4FE8">
      <w:pPr>
        <w:jc w:val="center"/>
        <w:rPr>
          <w:rFonts w:ascii="Century Gothic" w:hAnsi="Century Gothic"/>
        </w:rPr>
      </w:pPr>
      <w:r w:rsidRPr="00B6508C">
        <w:rPr>
          <w:rFonts w:ascii="Century Gothic" w:hAnsi="Century Gothic"/>
        </w:rPr>
        <w:t xml:space="preserve">Seção IV </w:t>
      </w:r>
    </w:p>
    <w:p w14:paraId="039CAF87" w14:textId="51C38307" w:rsidR="00D43C7E" w:rsidRPr="00B6508C" w:rsidRDefault="00FC1773" w:rsidP="001A4FE8">
      <w:pPr>
        <w:jc w:val="center"/>
        <w:rPr>
          <w:rFonts w:ascii="Century Gothic" w:hAnsi="Century Gothic"/>
        </w:rPr>
      </w:pPr>
      <w:r w:rsidRPr="00B6508C">
        <w:rPr>
          <w:rFonts w:ascii="Century Gothic" w:hAnsi="Century Gothic"/>
        </w:rPr>
        <w:lastRenderedPageBreak/>
        <w:t xml:space="preserve">Do cômputo das sanções </w:t>
      </w:r>
    </w:p>
    <w:p w14:paraId="6C64A256" w14:textId="2A5123B4"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29 - Sobrevindo nova condenação, no curso do período de vigência das sanções indicadas nos incisos III e IV do art. 4º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será somado ao período remanescente o tempo fixado na nova decisão condenatória, reiniciando-se os efeitos das sanções. </w:t>
      </w:r>
    </w:p>
    <w:p w14:paraId="562C50B8" w14:textId="69D046D0"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§1º - No cômputo das sanções, nos termos do caput, observar-se-á o prazo máximo de seis anos em que o condenado ficará impedido de licitar ou contratar com a Administração Pública </w:t>
      </w:r>
      <w:r w:rsidR="008E3760">
        <w:rPr>
          <w:rFonts w:ascii="Century Gothic" w:hAnsi="Century Gothic"/>
        </w:rPr>
        <w:t>Municipal.</w:t>
      </w:r>
      <w:r w:rsidRPr="00B6508C">
        <w:rPr>
          <w:rFonts w:ascii="Century Gothic" w:hAnsi="Century Gothic"/>
        </w:rPr>
        <w:t xml:space="preserve"> </w:t>
      </w:r>
    </w:p>
    <w:p w14:paraId="0BAE6FEA" w14:textId="3E080ECB"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§2º - Em qualquer caso, a unificação das sanções não poderá resultar em cumprimento inferior à metade do total fixado na condenação, ainda que ultrapasse o prazo de seis anos previsto no §1º do caput deste artigo. </w:t>
      </w:r>
    </w:p>
    <w:p w14:paraId="0B4E3981" w14:textId="77777777"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§3º - No cômputo das sanções, nos termos do caput, contam-se as condenações em meses, desprezando-se os dias, respeitando-se o limite máximo previsto no §1º deste artigo, orientado pelo termo inicial da primeira condenação. </w:t>
      </w:r>
    </w:p>
    <w:p w14:paraId="18BA6DC7" w14:textId="77777777" w:rsidR="008E3760"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30 - São independentes e operam efeitos independentes as infrações autônomas praticadas por fornecedores. </w:t>
      </w:r>
    </w:p>
    <w:p w14:paraId="600A71A7" w14:textId="1E496C62" w:rsidR="00D43C7E" w:rsidRPr="00B6508C"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Parágrafo único - As sanções previstas nos incisos III e IV do art. 4º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serão aplicadas de modo independente em relação a cada infração diversa cometida. </w:t>
      </w:r>
    </w:p>
    <w:p w14:paraId="06BF0380" w14:textId="77777777" w:rsidR="00D43C7E" w:rsidRPr="00B6508C" w:rsidRDefault="00FC1773" w:rsidP="001A4FE8">
      <w:pPr>
        <w:jc w:val="center"/>
        <w:rPr>
          <w:rFonts w:ascii="Century Gothic" w:hAnsi="Century Gothic"/>
        </w:rPr>
      </w:pPr>
      <w:r w:rsidRPr="00B6508C">
        <w:rPr>
          <w:rFonts w:ascii="Century Gothic" w:hAnsi="Century Gothic"/>
        </w:rPr>
        <w:t xml:space="preserve">CAPÍTULO IV </w:t>
      </w:r>
    </w:p>
    <w:p w14:paraId="41BEC513" w14:textId="77777777" w:rsidR="00D43C7E" w:rsidRPr="00B6508C" w:rsidRDefault="00FC1773" w:rsidP="001A4FE8">
      <w:pPr>
        <w:jc w:val="center"/>
        <w:rPr>
          <w:rFonts w:ascii="Century Gothic" w:hAnsi="Century Gothic"/>
        </w:rPr>
      </w:pPr>
      <w:r w:rsidRPr="00B6508C">
        <w:rPr>
          <w:rFonts w:ascii="Century Gothic" w:hAnsi="Century Gothic"/>
        </w:rPr>
        <w:t xml:space="preserve">DAS DISPOSIÇÕES FINAIS </w:t>
      </w:r>
    </w:p>
    <w:p w14:paraId="4450AB89" w14:textId="77777777" w:rsidR="00D43C7E" w:rsidRPr="00B6508C" w:rsidRDefault="00FC1773" w:rsidP="001A4FE8">
      <w:pPr>
        <w:jc w:val="center"/>
        <w:rPr>
          <w:rFonts w:ascii="Century Gothic" w:hAnsi="Century Gothic"/>
        </w:rPr>
      </w:pPr>
      <w:r w:rsidRPr="00B6508C">
        <w:rPr>
          <w:rFonts w:ascii="Century Gothic" w:hAnsi="Century Gothic"/>
        </w:rPr>
        <w:t xml:space="preserve">Seção I </w:t>
      </w:r>
    </w:p>
    <w:p w14:paraId="0DEDF39D" w14:textId="7CA796CA" w:rsidR="00D43C7E" w:rsidRPr="00B6508C" w:rsidRDefault="00FC1773" w:rsidP="001A4FE8">
      <w:pPr>
        <w:jc w:val="center"/>
        <w:rPr>
          <w:rFonts w:ascii="Century Gothic" w:hAnsi="Century Gothic"/>
        </w:rPr>
      </w:pPr>
      <w:r w:rsidRPr="00B6508C">
        <w:rPr>
          <w:rFonts w:ascii="Century Gothic" w:hAnsi="Century Gothic"/>
        </w:rPr>
        <w:t xml:space="preserve">Dos cadastros dos fornecedores impedidos </w:t>
      </w:r>
    </w:p>
    <w:p w14:paraId="728EC8FC" w14:textId="2FB1937A" w:rsidR="0050596A" w:rsidRDefault="00FC1773" w:rsidP="008E3760">
      <w:pPr>
        <w:spacing w:before="100" w:beforeAutospacing="1" w:after="100" w:afterAutospacing="1"/>
        <w:jc w:val="both"/>
        <w:rPr>
          <w:rFonts w:ascii="Century Gothic" w:hAnsi="Century Gothic"/>
        </w:rPr>
      </w:pPr>
      <w:r w:rsidRPr="00B6508C">
        <w:rPr>
          <w:rFonts w:ascii="Century Gothic" w:hAnsi="Century Gothic"/>
        </w:rPr>
        <w:t xml:space="preserve">Art. 31 - Será inscrito no Cadastro de Fornecedores Impedidos de Licitar e Contratar com a Administração, </w:t>
      </w:r>
      <w:r w:rsidR="0050596A">
        <w:rPr>
          <w:rFonts w:ascii="Century Gothic" w:hAnsi="Century Gothic"/>
        </w:rPr>
        <w:t xml:space="preserve">que será </w:t>
      </w:r>
      <w:r w:rsidRPr="00B6508C">
        <w:rPr>
          <w:rFonts w:ascii="Century Gothic" w:hAnsi="Century Gothic"/>
        </w:rPr>
        <w:t>regulamento</w:t>
      </w:r>
      <w:r w:rsidR="0050596A">
        <w:rPr>
          <w:rFonts w:ascii="Century Gothic" w:hAnsi="Century Gothic"/>
        </w:rPr>
        <w:t xml:space="preserve"> nos termos legais</w:t>
      </w:r>
      <w:r w:rsidRPr="00B6508C">
        <w:rPr>
          <w:rFonts w:ascii="Century Gothic" w:hAnsi="Century Gothic"/>
        </w:rPr>
        <w:t xml:space="preserve">, o fornecedor que receber uma das sanções previstas nos incisos III e IV do art. 4º </w:t>
      </w:r>
      <w:r w:rsidR="00B5335C" w:rsidRPr="00B6508C">
        <w:rPr>
          <w:rFonts w:ascii="Century Gothic" w:hAnsi="Century Gothic"/>
        </w:rPr>
        <w:t>d</w:t>
      </w:r>
      <w:r w:rsidR="00B5335C">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após a conclusão de processo administrativo punitivo e decisão da autoridade competente pela aplicação da sanção. </w:t>
      </w:r>
    </w:p>
    <w:p w14:paraId="396862FD" w14:textId="53EEE3A9" w:rsidR="0050596A" w:rsidRDefault="00FC1773" w:rsidP="0050596A">
      <w:pPr>
        <w:spacing w:before="100" w:beforeAutospacing="1" w:after="100" w:afterAutospacing="1"/>
        <w:jc w:val="both"/>
        <w:rPr>
          <w:rFonts w:ascii="Century Gothic" w:hAnsi="Century Gothic"/>
        </w:rPr>
      </w:pPr>
      <w:r w:rsidRPr="00B6508C">
        <w:rPr>
          <w:rFonts w:ascii="Century Gothic" w:hAnsi="Century Gothic"/>
        </w:rPr>
        <w:t>Parágrafo único - O fornecedor será excluído do</w:t>
      </w:r>
      <w:r w:rsidR="0050596A">
        <w:rPr>
          <w:rFonts w:ascii="Century Gothic" w:hAnsi="Century Gothic"/>
        </w:rPr>
        <w:t xml:space="preserve"> </w:t>
      </w:r>
      <w:r w:rsidR="0050596A" w:rsidRPr="00B6508C">
        <w:rPr>
          <w:rFonts w:ascii="Century Gothic" w:hAnsi="Century Gothic"/>
        </w:rPr>
        <w:t>Cadastro de Fornecedores Impedidos de Licitar e Contratar com a Administração</w:t>
      </w:r>
      <w:r w:rsidRPr="00B6508C">
        <w:rPr>
          <w:rFonts w:ascii="Century Gothic" w:hAnsi="Century Gothic"/>
        </w:rPr>
        <w:t xml:space="preserve"> na forma do regulamento</w:t>
      </w:r>
      <w:r w:rsidR="0050596A">
        <w:rPr>
          <w:rFonts w:ascii="Century Gothic" w:hAnsi="Century Gothic"/>
        </w:rPr>
        <w:t xml:space="preserve"> específico.</w:t>
      </w:r>
    </w:p>
    <w:p w14:paraId="57559620" w14:textId="551691D7" w:rsidR="00D43C7E"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Art. 32 - Os órgãos e entidades da Administração Pública </w:t>
      </w:r>
      <w:r w:rsidR="0050596A">
        <w:rPr>
          <w:rFonts w:ascii="Century Gothic" w:hAnsi="Century Gothic"/>
        </w:rPr>
        <w:t>Municipal</w:t>
      </w:r>
      <w:r w:rsidRPr="00B6508C">
        <w:rPr>
          <w:rFonts w:ascii="Century Gothic" w:hAnsi="Century Gothic"/>
        </w:rPr>
        <w:t xml:space="preserve"> deverão, no prazo máximo de 15 dias úteis, contados da data da aplicação da sanção da qual não caiba mais recurso, informar e manter atualizados os dados relativos às sanções por eles aplicadas, para fins de publicidade no Cadastro Nacional de Empresas Inidôneas e Suspensas (</w:t>
      </w:r>
      <w:proofErr w:type="spellStart"/>
      <w:r w:rsidRPr="00B6508C">
        <w:rPr>
          <w:rFonts w:ascii="Century Gothic" w:hAnsi="Century Gothic"/>
        </w:rPr>
        <w:t>Ceis</w:t>
      </w:r>
      <w:proofErr w:type="spellEnd"/>
      <w:r w:rsidRPr="00B6508C">
        <w:rPr>
          <w:rFonts w:ascii="Century Gothic" w:hAnsi="Century Gothic"/>
        </w:rPr>
        <w:t>) e no Cadastro Nacional de Empresas Punidas (</w:t>
      </w:r>
      <w:proofErr w:type="spellStart"/>
      <w:r w:rsidRPr="00B6508C">
        <w:rPr>
          <w:rFonts w:ascii="Century Gothic" w:hAnsi="Century Gothic"/>
        </w:rPr>
        <w:t>Cnep</w:t>
      </w:r>
      <w:proofErr w:type="spellEnd"/>
      <w:r w:rsidRPr="00B6508C">
        <w:rPr>
          <w:rFonts w:ascii="Century Gothic" w:hAnsi="Century Gothic"/>
        </w:rPr>
        <w:t xml:space="preserve">), instituídos no âmbito do Poder Executivo Federal. </w:t>
      </w:r>
    </w:p>
    <w:p w14:paraId="3CA58A81" w14:textId="77777777" w:rsidR="00D43C7E" w:rsidRPr="00B6508C" w:rsidRDefault="00FC1773" w:rsidP="001A4FE8">
      <w:pPr>
        <w:jc w:val="center"/>
        <w:rPr>
          <w:rFonts w:ascii="Century Gothic" w:hAnsi="Century Gothic"/>
        </w:rPr>
      </w:pPr>
      <w:r w:rsidRPr="00B6508C">
        <w:rPr>
          <w:rFonts w:ascii="Century Gothic" w:hAnsi="Century Gothic"/>
        </w:rPr>
        <w:t xml:space="preserve">Seção II </w:t>
      </w:r>
    </w:p>
    <w:p w14:paraId="699FE91D" w14:textId="096D2EB5" w:rsidR="00D43C7E" w:rsidRPr="00B6508C" w:rsidRDefault="00FC1773" w:rsidP="001A4FE8">
      <w:pPr>
        <w:jc w:val="center"/>
        <w:rPr>
          <w:rFonts w:ascii="Century Gothic" w:hAnsi="Century Gothic"/>
        </w:rPr>
      </w:pPr>
      <w:r w:rsidRPr="00B6508C">
        <w:rPr>
          <w:rFonts w:ascii="Century Gothic" w:hAnsi="Century Gothic"/>
        </w:rPr>
        <w:t xml:space="preserve">Da Reabilitação </w:t>
      </w:r>
    </w:p>
    <w:p w14:paraId="06CFE358" w14:textId="77777777" w:rsidR="00D43C7E"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Art. 33 - É admitida a reabilitação do fornecedor perante a própria autoridade que aplicou a penalidade, exigidos, cumulativamente: </w:t>
      </w:r>
    </w:p>
    <w:p w14:paraId="62F90AD9"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lastRenderedPageBreak/>
        <w:t xml:space="preserve">I - reparação integral do dano causado à Administração Pública; </w:t>
      </w:r>
    </w:p>
    <w:p w14:paraId="41B9930A"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II - pagamento da multa; </w:t>
      </w:r>
    </w:p>
    <w:p w14:paraId="3BE1E663"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III - transcurso do prazo mínimo de um ano da aplicação da penalidade, no caso de impedimento de licitar e contratar, ou de três anos da aplicação da penalidade, no caso de declaração de inidoneidade; </w:t>
      </w:r>
    </w:p>
    <w:p w14:paraId="5AAF8927" w14:textId="1B2D8206"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IV - cumprimento das condições de reabilitação definidas no ato punitivo; </w:t>
      </w:r>
    </w:p>
    <w:p w14:paraId="76822C71"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V - análise jurídica prévia, com posicionamento conclusivo quanto ao cumprimento dos requisitos definidos neste artigo. </w:t>
      </w:r>
    </w:p>
    <w:p w14:paraId="61ED0540"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Parágrafo único - A sanção pelas infrações previstas nos incisos VIII e XII do caput do art. 155 da Lei Federal nº 14.133, de 2021, exigirá, como condição de reabilitação do fornecedor, a implantação ou aperfeiçoamento de programa de integridade pelo responsável. </w:t>
      </w:r>
    </w:p>
    <w:p w14:paraId="65F48DEB" w14:textId="77777777" w:rsidR="00B6508C" w:rsidRPr="00B6508C" w:rsidRDefault="00FC1773" w:rsidP="001A4FE8">
      <w:pPr>
        <w:jc w:val="center"/>
        <w:rPr>
          <w:rFonts w:ascii="Century Gothic" w:hAnsi="Century Gothic"/>
        </w:rPr>
      </w:pPr>
      <w:r w:rsidRPr="00B6508C">
        <w:rPr>
          <w:rFonts w:ascii="Century Gothic" w:hAnsi="Century Gothic"/>
        </w:rPr>
        <w:t xml:space="preserve">Seção III </w:t>
      </w:r>
    </w:p>
    <w:p w14:paraId="6A55097A" w14:textId="77777777" w:rsidR="00B6508C" w:rsidRPr="00B6508C" w:rsidRDefault="00FC1773" w:rsidP="001A4FE8">
      <w:pPr>
        <w:jc w:val="center"/>
        <w:rPr>
          <w:rFonts w:ascii="Century Gothic" w:hAnsi="Century Gothic"/>
        </w:rPr>
      </w:pPr>
      <w:r w:rsidRPr="00B6508C">
        <w:rPr>
          <w:rFonts w:ascii="Century Gothic" w:hAnsi="Century Gothic"/>
        </w:rPr>
        <w:t xml:space="preserve">Da desconsideração da personalidade jurídica </w:t>
      </w:r>
    </w:p>
    <w:p w14:paraId="12A0417F"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Art. 34 - A personalidade jurídica do fornecedor infrator poderá ser desconsiderada, sempre que utilizada com abuso de direito para facilitar, encobrir ou dissimular a prática de atos ilícitos previstos na Lei Federal nº 14.133, de 2021, ou para provocar confusão patrimonial. </w:t>
      </w:r>
    </w:p>
    <w:p w14:paraId="40D162C2"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 1º - Desconsiderada a personalidade jurídica,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w:t>
      </w:r>
    </w:p>
    <w:p w14:paraId="1C3CF9B1" w14:textId="6A43A9AE"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 2º - Nas hipóteses de que trata o caput de desconsideração da personalidade jurídica serão observados o contraditório, a ampla defesa e a obrigatoriedade de análise jurídica prévia. </w:t>
      </w:r>
    </w:p>
    <w:p w14:paraId="0977219A"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 3º - O processo poderá ser instaurado exclusivamente contra administradores e sócios que possuem poderes de administração, se identificada prática de subterfúgios, visando burlar os objetivos legais da própria sanção administrativa. </w:t>
      </w:r>
    </w:p>
    <w:p w14:paraId="46C2FDF5" w14:textId="77777777" w:rsidR="00B6508C" w:rsidRPr="00B6508C" w:rsidRDefault="00FC1773" w:rsidP="001A4FE8">
      <w:pPr>
        <w:jc w:val="center"/>
        <w:rPr>
          <w:rFonts w:ascii="Century Gothic" w:hAnsi="Century Gothic"/>
        </w:rPr>
      </w:pPr>
      <w:r w:rsidRPr="00B6508C">
        <w:rPr>
          <w:rFonts w:ascii="Century Gothic" w:hAnsi="Century Gothic"/>
        </w:rPr>
        <w:t xml:space="preserve">Seção IV </w:t>
      </w:r>
    </w:p>
    <w:p w14:paraId="4BCACFB3" w14:textId="3A50BF2D" w:rsidR="00B6508C" w:rsidRPr="00B6508C" w:rsidRDefault="00FC1773" w:rsidP="001A4FE8">
      <w:pPr>
        <w:jc w:val="center"/>
        <w:rPr>
          <w:rFonts w:ascii="Century Gothic" w:hAnsi="Century Gothic"/>
        </w:rPr>
      </w:pPr>
      <w:r w:rsidRPr="00B6508C">
        <w:rPr>
          <w:rFonts w:ascii="Century Gothic" w:hAnsi="Century Gothic"/>
        </w:rPr>
        <w:t xml:space="preserve">Do julgamento conjunto de atos lesivos contra a Administração </w:t>
      </w:r>
    </w:p>
    <w:p w14:paraId="215B8385"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t xml:space="preserve">Art. 35 - Os atos previstos como infrações administrativas na Lei Federal nº 14.133, de 2021, ou em outras leis de licitações e contratos da Administração Pública que também sejam tipificados como atos lesivos na Lei Federal nº 12.846, de 01 de agosto de 2013, serão apurados e julgados conjuntamente, nos mesmos autos, observados o rito procedimental e a autoridade competente definidos na referida Lei. </w:t>
      </w:r>
    </w:p>
    <w:p w14:paraId="4BD2D18A" w14:textId="77777777" w:rsidR="00B6508C" w:rsidRPr="00B6508C" w:rsidRDefault="00FC1773" w:rsidP="001A4FE8">
      <w:pPr>
        <w:jc w:val="center"/>
        <w:rPr>
          <w:rFonts w:ascii="Century Gothic" w:hAnsi="Century Gothic"/>
        </w:rPr>
      </w:pPr>
      <w:r w:rsidRPr="00B6508C">
        <w:rPr>
          <w:rFonts w:ascii="Century Gothic" w:hAnsi="Century Gothic"/>
        </w:rPr>
        <w:t xml:space="preserve">Seção V </w:t>
      </w:r>
    </w:p>
    <w:p w14:paraId="0AE455A7" w14:textId="77777777" w:rsidR="00B6508C" w:rsidRPr="00B6508C" w:rsidRDefault="00FC1773" w:rsidP="001A4FE8">
      <w:pPr>
        <w:jc w:val="center"/>
        <w:rPr>
          <w:rFonts w:ascii="Century Gothic" w:hAnsi="Century Gothic"/>
        </w:rPr>
      </w:pPr>
      <w:r w:rsidRPr="00B6508C">
        <w:rPr>
          <w:rFonts w:ascii="Century Gothic" w:hAnsi="Century Gothic"/>
        </w:rPr>
        <w:t xml:space="preserve">Da Prescrição </w:t>
      </w:r>
    </w:p>
    <w:p w14:paraId="1BBE33E0" w14:textId="77777777" w:rsidR="00B6508C" w:rsidRPr="00B6508C" w:rsidRDefault="00FC1773" w:rsidP="0050596A">
      <w:pPr>
        <w:spacing w:before="100" w:beforeAutospacing="1" w:after="100" w:afterAutospacing="1"/>
        <w:jc w:val="both"/>
        <w:rPr>
          <w:rFonts w:ascii="Century Gothic" w:hAnsi="Century Gothic"/>
        </w:rPr>
      </w:pPr>
      <w:r w:rsidRPr="00B6508C">
        <w:rPr>
          <w:rFonts w:ascii="Century Gothic" w:hAnsi="Century Gothic"/>
        </w:rPr>
        <w:lastRenderedPageBreak/>
        <w:t xml:space="preserve">Art. 36 - A prescrição ocorrerá em cinco anos, contados da ciência da infração pela Administração, e será: </w:t>
      </w:r>
    </w:p>
    <w:p w14:paraId="1C951EE7" w14:textId="59B503CB"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I - interrompida pela instauração do processo administrativo punitivo de que trata o capítulo III </w:t>
      </w:r>
      <w:r w:rsidR="00F408C4" w:rsidRPr="00B6508C">
        <w:rPr>
          <w:rFonts w:ascii="Century Gothic" w:hAnsi="Century Gothic"/>
        </w:rPr>
        <w:t>d</w:t>
      </w:r>
      <w:r w:rsidR="00F408C4">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w:t>
      </w:r>
    </w:p>
    <w:p w14:paraId="6B257404" w14:textId="77777777"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II - suspensa pela celebração de acordo de leniência previsto na Lei Federal nº 12.846, de 2013; </w:t>
      </w:r>
    </w:p>
    <w:p w14:paraId="4603F159" w14:textId="77777777"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III - suspensa por decisão judicial que inviabilize a conclusão da apuração administrativa. </w:t>
      </w:r>
    </w:p>
    <w:p w14:paraId="086B6AC5" w14:textId="77777777" w:rsidR="00B6508C" w:rsidRPr="00B6508C" w:rsidRDefault="00FC1773" w:rsidP="001A4FE8">
      <w:pPr>
        <w:jc w:val="center"/>
        <w:rPr>
          <w:rFonts w:ascii="Century Gothic" w:hAnsi="Century Gothic"/>
        </w:rPr>
      </w:pPr>
      <w:r w:rsidRPr="00B6508C">
        <w:rPr>
          <w:rFonts w:ascii="Century Gothic" w:hAnsi="Century Gothic"/>
        </w:rPr>
        <w:t xml:space="preserve">Seção VI </w:t>
      </w:r>
    </w:p>
    <w:p w14:paraId="3FF469D4" w14:textId="77777777" w:rsidR="00B6508C" w:rsidRPr="00B6508C" w:rsidRDefault="00FC1773" w:rsidP="001A4FE8">
      <w:pPr>
        <w:jc w:val="center"/>
        <w:rPr>
          <w:rFonts w:ascii="Century Gothic" w:hAnsi="Century Gothic"/>
        </w:rPr>
      </w:pPr>
      <w:r w:rsidRPr="00B6508C">
        <w:rPr>
          <w:rFonts w:ascii="Century Gothic" w:hAnsi="Century Gothic"/>
        </w:rPr>
        <w:t xml:space="preserve">Disposições gerais </w:t>
      </w:r>
    </w:p>
    <w:p w14:paraId="19735809" w14:textId="52B3879F"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Art. 37 - A extinção do contrato por ato unilateral da Administração Pública poderá ocorrer, sem prejuízo das sanções previstas </w:t>
      </w:r>
      <w:r w:rsidR="00F408C4" w:rsidRPr="00B6508C">
        <w:rPr>
          <w:rFonts w:ascii="Century Gothic" w:hAnsi="Century Gothic"/>
        </w:rPr>
        <w:t>n</w:t>
      </w:r>
      <w:r w:rsidR="00F408C4">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observados os procedimentos dispostos no capítulo III </w:t>
      </w:r>
      <w:r w:rsidR="00F408C4" w:rsidRPr="00B6508C">
        <w:rPr>
          <w:rFonts w:ascii="Century Gothic" w:hAnsi="Century Gothic"/>
        </w:rPr>
        <w:t>d</w:t>
      </w:r>
      <w:r w:rsidR="00F408C4">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e assegurados o contraditório e a ampla defesa: </w:t>
      </w:r>
    </w:p>
    <w:p w14:paraId="51827A53" w14:textId="77777777"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I - antes da abertura do processo de apuração de responsabilidade; </w:t>
      </w:r>
    </w:p>
    <w:p w14:paraId="0E296C09" w14:textId="77777777"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II - em caráter incidental, no curso de apuração de responsabilidade; </w:t>
      </w:r>
      <w:proofErr w:type="gramStart"/>
      <w:r w:rsidRPr="00B6508C">
        <w:rPr>
          <w:rFonts w:ascii="Century Gothic" w:hAnsi="Century Gothic"/>
        </w:rPr>
        <w:t>e</w:t>
      </w:r>
      <w:proofErr w:type="gramEnd"/>
      <w:r w:rsidRPr="00B6508C">
        <w:rPr>
          <w:rFonts w:ascii="Century Gothic" w:hAnsi="Century Gothic"/>
        </w:rPr>
        <w:t xml:space="preserve"> </w:t>
      </w:r>
    </w:p>
    <w:p w14:paraId="4BC39F44" w14:textId="77777777"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III - quando do julgamento de apuração de responsabilidade. </w:t>
      </w:r>
    </w:p>
    <w:p w14:paraId="68CBD598" w14:textId="7B51AB21"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Art. 38 - A aplicação das sanções previstas </w:t>
      </w:r>
      <w:r w:rsidR="00F408C4" w:rsidRPr="00B6508C">
        <w:rPr>
          <w:rFonts w:ascii="Century Gothic" w:hAnsi="Century Gothic"/>
        </w:rPr>
        <w:t>n</w:t>
      </w:r>
      <w:r w:rsidR="00F408C4">
        <w:rPr>
          <w:rFonts w:ascii="Century Gothic" w:hAnsi="Century Gothic"/>
        </w:rPr>
        <w:t>esta</w:t>
      </w:r>
      <w:r w:rsidR="003556FF">
        <w:rPr>
          <w:rFonts w:ascii="Century Gothic" w:hAnsi="Century Gothic"/>
        </w:rPr>
        <w:t xml:space="preserve"> Portaria</w:t>
      </w:r>
      <w:r w:rsidRPr="00B6508C">
        <w:rPr>
          <w:rFonts w:ascii="Century Gothic" w:hAnsi="Century Gothic"/>
        </w:rPr>
        <w:t xml:space="preserve"> não exclui, em hipótese alguma, a obrigação de reparação integral do dano causado à Administração Pública. </w:t>
      </w:r>
    </w:p>
    <w:p w14:paraId="762B0651" w14:textId="77777777" w:rsidR="00B6508C" w:rsidRPr="00B6508C"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Art. 39 - Fica facultado ao responsável pela condução do processo administrativo punitivo, à comissão processante e à autoridade instauradora do processo administrativo punitivo, submetê-lo à manifestação jurídica a qualquer tempo. </w:t>
      </w:r>
    </w:p>
    <w:p w14:paraId="00C3218E" w14:textId="77777777" w:rsidR="000A4B5A" w:rsidRPr="003556FF" w:rsidRDefault="00FC1773" w:rsidP="000A4B5A">
      <w:pPr>
        <w:spacing w:before="100" w:beforeAutospacing="1" w:after="100" w:afterAutospacing="1"/>
        <w:jc w:val="both"/>
        <w:rPr>
          <w:rFonts w:ascii="Century Gothic" w:hAnsi="Century Gothic"/>
        </w:rPr>
      </w:pPr>
      <w:r w:rsidRPr="00B6508C">
        <w:rPr>
          <w:rFonts w:ascii="Century Gothic" w:hAnsi="Century Gothic"/>
        </w:rPr>
        <w:t xml:space="preserve">Art. 40 - A Secretaria </w:t>
      </w:r>
      <w:r w:rsidR="000A4B5A">
        <w:rPr>
          <w:rFonts w:ascii="Century Gothic" w:hAnsi="Century Gothic"/>
        </w:rPr>
        <w:t>Municipal de Administração</w:t>
      </w:r>
      <w:r w:rsidRPr="00B6508C">
        <w:rPr>
          <w:rFonts w:ascii="Century Gothic" w:hAnsi="Century Gothic"/>
        </w:rPr>
        <w:t xml:space="preserve"> poderá expedir orientações complementares, solucionar casos omissos, disponibilizar materiais de apoio, instituir modelos padronizados de documentos e providenciar solução de tecnologia da informação e comunicação para apoiar a execução </w:t>
      </w:r>
      <w:r w:rsidRPr="003556FF">
        <w:rPr>
          <w:rFonts w:ascii="Century Gothic" w:hAnsi="Century Gothic"/>
        </w:rPr>
        <w:t xml:space="preserve">dos procedimentos de que trata esta resolução. </w:t>
      </w:r>
    </w:p>
    <w:p w14:paraId="745CE180" w14:textId="77777777" w:rsidR="00CF7C38" w:rsidRPr="00CF7C38" w:rsidRDefault="00FC1773" w:rsidP="00CF7C38">
      <w:pPr>
        <w:spacing w:before="100" w:beforeAutospacing="1" w:after="100" w:afterAutospacing="1"/>
        <w:jc w:val="both"/>
        <w:rPr>
          <w:rFonts w:ascii="Century Gothic" w:eastAsiaTheme="minorEastAsia" w:hAnsi="Century Gothic" w:cs="Segoe UI"/>
          <w:color w:val="000000" w:themeColor="text1"/>
        </w:rPr>
      </w:pPr>
      <w:r w:rsidRPr="00CF7C38">
        <w:rPr>
          <w:rFonts w:ascii="Century Gothic" w:hAnsi="Century Gothic"/>
        </w:rPr>
        <w:t xml:space="preserve">Art. 41 - </w:t>
      </w:r>
      <w:r w:rsidR="00CF7C38" w:rsidRPr="00CF7C38">
        <w:rPr>
          <w:rFonts w:ascii="Century Gothic" w:eastAsiaTheme="minorEastAsia" w:hAnsi="Century Gothic" w:cs="Segoe UI"/>
          <w:color w:val="000000" w:themeColor="text1"/>
        </w:rPr>
        <w:t>Esta Portaria entra em vigor na data de sua publicação, retroagindo seus efeitos a partir de 1º de Janeiro de 2024.</w:t>
      </w:r>
    </w:p>
    <w:p w14:paraId="2A43F0E0" w14:textId="77777777" w:rsidR="00CF7C38" w:rsidRPr="00CF7C38" w:rsidRDefault="00CF7C38" w:rsidP="00CF7C38">
      <w:pPr>
        <w:spacing w:before="100" w:beforeAutospacing="1" w:after="100" w:afterAutospacing="1"/>
        <w:jc w:val="both"/>
        <w:rPr>
          <w:rFonts w:ascii="Century Gothic" w:eastAsiaTheme="minorEastAsia" w:hAnsi="Century Gothic" w:cs="Segoe UI"/>
          <w:color w:val="000000" w:themeColor="text1"/>
        </w:rPr>
      </w:pPr>
    </w:p>
    <w:p w14:paraId="0B7C8124" w14:textId="77777777" w:rsidR="00CF7C38" w:rsidRPr="00CF7C38" w:rsidRDefault="00CF7C38" w:rsidP="00CF7C38">
      <w:pPr>
        <w:spacing w:before="100" w:beforeAutospacing="1" w:after="100" w:afterAutospacing="1"/>
        <w:jc w:val="center"/>
        <w:rPr>
          <w:rFonts w:ascii="Century Gothic" w:hAnsi="Century Gothic"/>
        </w:rPr>
      </w:pPr>
      <w:r w:rsidRPr="00CF7C38">
        <w:rPr>
          <w:rFonts w:ascii="Century Gothic" w:hAnsi="Century Gothic"/>
        </w:rPr>
        <w:t>Argirita, 15 de Fevereiro de 2024.</w:t>
      </w:r>
    </w:p>
    <w:p w14:paraId="42730BA8" w14:textId="77777777" w:rsidR="00CF7C38" w:rsidRPr="00CF7C38" w:rsidRDefault="00CF7C38" w:rsidP="00CF7C38">
      <w:pPr>
        <w:spacing w:before="100" w:beforeAutospacing="1" w:after="100" w:afterAutospacing="1"/>
        <w:jc w:val="both"/>
        <w:rPr>
          <w:rFonts w:ascii="Century Gothic" w:hAnsi="Century Gothic"/>
        </w:rPr>
      </w:pPr>
    </w:p>
    <w:p w14:paraId="5293141B" w14:textId="77777777" w:rsidR="00CF7C38" w:rsidRPr="00CF7C38" w:rsidRDefault="00CF7C38" w:rsidP="00CF7C38">
      <w:pPr>
        <w:jc w:val="center"/>
        <w:rPr>
          <w:rFonts w:ascii="Century Gothic" w:hAnsi="Century Gothic" w:cs="Tahoma"/>
          <w:b/>
        </w:rPr>
      </w:pPr>
      <w:r w:rsidRPr="00CF7C38">
        <w:rPr>
          <w:rFonts w:ascii="Century Gothic" w:hAnsi="Century Gothic" w:cs="Tahoma"/>
          <w:b/>
        </w:rPr>
        <w:t>REGINALDO CARMINATE ALMEIDA</w:t>
      </w:r>
    </w:p>
    <w:p w14:paraId="6F77351C" w14:textId="77777777" w:rsidR="00CF7C38" w:rsidRPr="00CF7C38" w:rsidRDefault="00CF7C38" w:rsidP="00CF7C38">
      <w:pPr>
        <w:jc w:val="center"/>
        <w:rPr>
          <w:rFonts w:ascii="Century Gothic" w:hAnsi="Century Gothic"/>
        </w:rPr>
      </w:pPr>
      <w:r w:rsidRPr="00CF7C38">
        <w:rPr>
          <w:rFonts w:ascii="Century Gothic" w:hAnsi="Century Gothic" w:cs="Tahoma"/>
          <w:b/>
        </w:rPr>
        <w:t>PRESIDENTE DA CÂMARA MUNICIPAL</w:t>
      </w:r>
    </w:p>
    <w:p w14:paraId="2B093BE5" w14:textId="5DC89DDC" w:rsidR="009A1879" w:rsidRPr="00B6508C" w:rsidRDefault="009A1879" w:rsidP="00CF7C38">
      <w:pPr>
        <w:spacing w:before="100" w:beforeAutospacing="1" w:after="100" w:afterAutospacing="1"/>
        <w:jc w:val="both"/>
        <w:rPr>
          <w:rFonts w:ascii="Century Gothic" w:hAnsi="Century Gothic"/>
          <w:sz w:val="24"/>
          <w:szCs w:val="24"/>
        </w:rPr>
      </w:pPr>
    </w:p>
    <w:sectPr w:rsidR="009A1879" w:rsidRPr="00B6508C" w:rsidSect="007E30E9">
      <w:headerReference w:type="default" r:id="rId8"/>
      <w:pgSz w:w="11907" w:h="16840"/>
      <w:pgMar w:top="226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6FB70" w14:textId="77777777" w:rsidR="009C416B" w:rsidRDefault="009C416B">
      <w:r>
        <w:separator/>
      </w:r>
    </w:p>
  </w:endnote>
  <w:endnote w:type="continuationSeparator" w:id="0">
    <w:p w14:paraId="325EBBB7" w14:textId="77777777" w:rsidR="009C416B" w:rsidRDefault="009C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AC20" w14:textId="77777777" w:rsidR="009C416B" w:rsidRDefault="009C416B">
      <w:r>
        <w:rPr>
          <w:color w:val="000000"/>
        </w:rPr>
        <w:separator/>
      </w:r>
    </w:p>
  </w:footnote>
  <w:footnote w:type="continuationSeparator" w:id="0">
    <w:p w14:paraId="4592E658" w14:textId="77777777" w:rsidR="009C416B" w:rsidRDefault="009C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1034" w14:textId="77777777" w:rsidR="00CF7C38" w:rsidRDefault="00CF7C38" w:rsidP="00CF7C38">
    <w:pPr>
      <w:pStyle w:val="Standard"/>
      <w:jc w:val="center"/>
    </w:pPr>
    <w:bookmarkStart w:id="1" w:name="_Hlk124859568"/>
    <w:bookmarkStart w:id="2" w:name="_Hlk124859569"/>
    <w:r>
      <w:rPr>
        <w:noProof/>
      </w:rPr>
      <w:drawing>
        <wp:anchor distT="0" distB="0" distL="114300" distR="114300" simplePos="0" relativeHeight="251659264" behindDoc="0" locked="0" layoutInCell="1" allowOverlap="1" wp14:anchorId="7CCAF45C" wp14:editId="110D6CBA">
          <wp:simplePos x="0" y="0"/>
          <wp:positionH relativeFrom="column">
            <wp:posOffset>-343082</wp:posOffset>
          </wp:positionH>
          <wp:positionV relativeFrom="paragraph">
            <wp:posOffset>-343082</wp:posOffset>
          </wp:positionV>
          <wp:extent cx="1024201" cy="893515"/>
          <wp:effectExtent l="0" t="0" r="4499" b="1835"/>
          <wp:wrapTight wrapText="bothSides">
            <wp:wrapPolygon edited="0">
              <wp:start x="0" y="0"/>
              <wp:lineTo x="0" y="21186"/>
              <wp:lineTo x="21305" y="21186"/>
              <wp:lineTo x="21305" y="0"/>
              <wp:lineTo x="0" y="0"/>
            </wp:wrapPolygon>
          </wp:wrapTight>
          <wp:docPr id="1" name="Imagem 2" descr="trimb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80988"/>
                  <a:stretch>
                    <a:fillRect/>
                  </a:stretch>
                </pic:blipFill>
                <pic:spPr>
                  <a:xfrm>
                    <a:off x="0" y="0"/>
                    <a:ext cx="1024201" cy="893515"/>
                  </a:xfrm>
                  <a:prstGeom prst="rect">
                    <a:avLst/>
                  </a:prstGeom>
                  <a:noFill/>
                  <a:ln>
                    <a:noFill/>
                    <a:prstDash/>
                  </a:ln>
                </pic:spPr>
              </pic:pic>
            </a:graphicData>
          </a:graphic>
        </wp:anchor>
      </w:drawing>
    </w:r>
    <w:r>
      <w:t>CÂMARA MUNICIPAL DE ARGIRITA</w:t>
    </w:r>
  </w:p>
  <w:p w14:paraId="762B78EC" w14:textId="77777777" w:rsidR="00CF7C38" w:rsidRDefault="00CF7C38" w:rsidP="00CF7C38">
    <w:pPr>
      <w:pStyle w:val="Standard"/>
      <w:jc w:val="center"/>
    </w:pPr>
    <w:r>
      <w:t xml:space="preserve">                  Praça </w:t>
    </w:r>
    <w:proofErr w:type="spellStart"/>
    <w:r>
      <w:t>Catulino</w:t>
    </w:r>
    <w:proofErr w:type="spellEnd"/>
    <w:r>
      <w:t xml:space="preserve"> Vasconcelos, 422–Centro–Argirita– MG – CEP: 36710-000      Telefone: (32) 3445-</w:t>
    </w:r>
    <w:proofErr w:type="gramStart"/>
    <w:r>
      <w:t>1584</w:t>
    </w:r>
    <w:proofErr w:type="gramEnd"/>
  </w:p>
  <w:p w14:paraId="59088889" w14:textId="7CCBB82A" w:rsidR="00423104" w:rsidRDefault="00423104" w:rsidP="009A1879">
    <w:pPr>
      <w:ind w:right="-676"/>
      <w:rPr>
        <w:rFonts w:ascii="Arial" w:hAnsi="Arial" w:cs="Arial"/>
        <w:b/>
        <w:color w:val="008000"/>
        <w:spacing w:val="70"/>
      </w:rPr>
    </w:pP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05D"/>
    <w:multiLevelType w:val="multilevel"/>
    <w:tmpl w:val="C1ECF25C"/>
    <w:styleLink w:val="LFO9"/>
    <w:lvl w:ilvl="0">
      <w:start w:val="1"/>
      <w:numFmt w:val="decimal"/>
      <w:pStyle w:val="Normalnumerado"/>
      <w:lvlText w:val="%1."/>
      <w:lvlJc w:val="left"/>
      <w:pPr>
        <w:ind w:left="705" w:hanging="70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3247743"/>
    <w:multiLevelType w:val="multilevel"/>
    <w:tmpl w:val="4F6E7D3E"/>
    <w:lvl w:ilvl="0">
      <w:start w:val="1"/>
      <w:numFmt w:val="decimal"/>
      <w:lvlText w:val="%1."/>
      <w:lvlJc w:val="left"/>
      <w:pPr>
        <w:ind w:left="2628" w:hanging="360"/>
      </w:pPr>
      <w:rPr>
        <w:b/>
      </w:rPr>
    </w:lvl>
    <w:lvl w:ilvl="1">
      <w:start w:val="1"/>
      <w:numFmt w:val="decimal"/>
      <w:lvlText w:val="%1.%2."/>
      <w:lvlJc w:val="left"/>
      <w:pPr>
        <w:ind w:left="2988" w:hanging="720"/>
      </w:pPr>
      <w:rPr>
        <w:rFonts w:ascii="Segoe UI" w:hAnsi="Segoe UI" w:cs="Segoe UI"/>
        <w:sz w:val="24"/>
        <w:szCs w:val="24"/>
      </w:rPr>
    </w:lvl>
    <w:lvl w:ilvl="2">
      <w:start w:val="1"/>
      <w:numFmt w:val="decimal"/>
      <w:lvlText w:val="%1.%2.%3."/>
      <w:lvlJc w:val="left"/>
      <w:pPr>
        <w:ind w:left="2988" w:hanging="720"/>
      </w:pPr>
    </w:lvl>
    <w:lvl w:ilvl="3">
      <w:start w:val="1"/>
      <w:numFmt w:val="decimal"/>
      <w:lvlText w:val="%1.%2.%3.%4."/>
      <w:lvlJc w:val="left"/>
      <w:pPr>
        <w:ind w:left="3348" w:hanging="1080"/>
      </w:pPr>
    </w:lvl>
    <w:lvl w:ilvl="4">
      <w:start w:val="1"/>
      <w:numFmt w:val="decimal"/>
      <w:lvlText w:val="%1.%2.%3.%4.%5."/>
      <w:lvlJc w:val="left"/>
      <w:pPr>
        <w:ind w:left="3348" w:hanging="1080"/>
      </w:pPr>
    </w:lvl>
    <w:lvl w:ilvl="5">
      <w:start w:val="1"/>
      <w:numFmt w:val="decimal"/>
      <w:lvlText w:val="%1.%2.%3.%4.%5.%6."/>
      <w:lvlJc w:val="left"/>
      <w:pPr>
        <w:ind w:left="3708" w:hanging="1440"/>
      </w:pPr>
    </w:lvl>
    <w:lvl w:ilvl="6">
      <w:start w:val="1"/>
      <w:numFmt w:val="decimal"/>
      <w:lvlText w:val="%1.%2.%3.%4.%5.%6.%7."/>
      <w:lvlJc w:val="left"/>
      <w:pPr>
        <w:ind w:left="3708" w:hanging="1440"/>
      </w:pPr>
    </w:lvl>
    <w:lvl w:ilvl="7">
      <w:start w:val="1"/>
      <w:numFmt w:val="decimal"/>
      <w:lvlText w:val="%1.%2.%3.%4.%5.%6.%7.%8."/>
      <w:lvlJc w:val="left"/>
      <w:pPr>
        <w:ind w:left="4068" w:hanging="1800"/>
      </w:pPr>
    </w:lvl>
    <w:lvl w:ilvl="8">
      <w:start w:val="1"/>
      <w:numFmt w:val="decimal"/>
      <w:lvlText w:val="%1.%2.%3.%4.%5.%6.%7.%8.%9."/>
      <w:lvlJc w:val="left"/>
      <w:pPr>
        <w:ind w:left="4068" w:hanging="1800"/>
      </w:pPr>
    </w:lvl>
  </w:abstractNum>
  <w:abstractNum w:abstractNumId="2">
    <w:nsid w:val="7AD92380"/>
    <w:multiLevelType w:val="hybridMultilevel"/>
    <w:tmpl w:val="3AC4DC98"/>
    <w:lvl w:ilvl="0" w:tplc="732015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A4"/>
    <w:rsid w:val="00004F30"/>
    <w:rsid w:val="000151FD"/>
    <w:rsid w:val="000514A3"/>
    <w:rsid w:val="000953C2"/>
    <w:rsid w:val="000A3ACA"/>
    <w:rsid w:val="000A4B5A"/>
    <w:rsid w:val="000B0F1E"/>
    <w:rsid w:val="0014570A"/>
    <w:rsid w:val="00150B57"/>
    <w:rsid w:val="00161BA8"/>
    <w:rsid w:val="00170D87"/>
    <w:rsid w:val="001A4FE8"/>
    <w:rsid w:val="0020294A"/>
    <w:rsid w:val="00207BFB"/>
    <w:rsid w:val="00216095"/>
    <w:rsid w:val="00242BF3"/>
    <w:rsid w:val="002466C8"/>
    <w:rsid w:val="002634DD"/>
    <w:rsid w:val="00266EED"/>
    <w:rsid w:val="002B6B6F"/>
    <w:rsid w:val="002C6665"/>
    <w:rsid w:val="00314A78"/>
    <w:rsid w:val="003466F0"/>
    <w:rsid w:val="00351A6B"/>
    <w:rsid w:val="00353C19"/>
    <w:rsid w:val="003556FF"/>
    <w:rsid w:val="00380743"/>
    <w:rsid w:val="0039327D"/>
    <w:rsid w:val="003A7A7B"/>
    <w:rsid w:val="003E7146"/>
    <w:rsid w:val="00423104"/>
    <w:rsid w:val="00452EA1"/>
    <w:rsid w:val="0047333E"/>
    <w:rsid w:val="004A3C90"/>
    <w:rsid w:val="004C0A81"/>
    <w:rsid w:val="004D5DD0"/>
    <w:rsid w:val="004F5492"/>
    <w:rsid w:val="004F769F"/>
    <w:rsid w:val="00500907"/>
    <w:rsid w:val="0050596A"/>
    <w:rsid w:val="005135FC"/>
    <w:rsid w:val="005971B4"/>
    <w:rsid w:val="00601548"/>
    <w:rsid w:val="00605E63"/>
    <w:rsid w:val="00616A0A"/>
    <w:rsid w:val="00617647"/>
    <w:rsid w:val="006217C4"/>
    <w:rsid w:val="00641EDF"/>
    <w:rsid w:val="006505A7"/>
    <w:rsid w:val="00656410"/>
    <w:rsid w:val="00661AA6"/>
    <w:rsid w:val="00667B19"/>
    <w:rsid w:val="006901FE"/>
    <w:rsid w:val="006A6274"/>
    <w:rsid w:val="006F097B"/>
    <w:rsid w:val="006F23DC"/>
    <w:rsid w:val="007503BF"/>
    <w:rsid w:val="00757764"/>
    <w:rsid w:val="007A66B4"/>
    <w:rsid w:val="007A7C7A"/>
    <w:rsid w:val="007E30E9"/>
    <w:rsid w:val="007F2535"/>
    <w:rsid w:val="00843C19"/>
    <w:rsid w:val="008928A4"/>
    <w:rsid w:val="008A4902"/>
    <w:rsid w:val="008B7971"/>
    <w:rsid w:val="008D58C7"/>
    <w:rsid w:val="008D6BC2"/>
    <w:rsid w:val="008E3760"/>
    <w:rsid w:val="00923995"/>
    <w:rsid w:val="00936496"/>
    <w:rsid w:val="00956F8A"/>
    <w:rsid w:val="009630DE"/>
    <w:rsid w:val="009A1879"/>
    <w:rsid w:val="009C24F4"/>
    <w:rsid w:val="009C416B"/>
    <w:rsid w:val="00A119C1"/>
    <w:rsid w:val="00A17256"/>
    <w:rsid w:val="00A41737"/>
    <w:rsid w:val="00A70F73"/>
    <w:rsid w:val="00A7328D"/>
    <w:rsid w:val="00A7794F"/>
    <w:rsid w:val="00AA49A5"/>
    <w:rsid w:val="00AB49D1"/>
    <w:rsid w:val="00AE64EC"/>
    <w:rsid w:val="00AF35A1"/>
    <w:rsid w:val="00B45DDF"/>
    <w:rsid w:val="00B501C4"/>
    <w:rsid w:val="00B5335C"/>
    <w:rsid w:val="00B6508C"/>
    <w:rsid w:val="00B662D0"/>
    <w:rsid w:val="00B70842"/>
    <w:rsid w:val="00B7181C"/>
    <w:rsid w:val="00B91262"/>
    <w:rsid w:val="00BE1435"/>
    <w:rsid w:val="00BE3627"/>
    <w:rsid w:val="00BF2427"/>
    <w:rsid w:val="00C015AC"/>
    <w:rsid w:val="00C04145"/>
    <w:rsid w:val="00C9208F"/>
    <w:rsid w:val="00CA46BA"/>
    <w:rsid w:val="00CE15FE"/>
    <w:rsid w:val="00CE5748"/>
    <w:rsid w:val="00CE6CD0"/>
    <w:rsid w:val="00CF5243"/>
    <w:rsid w:val="00CF7C38"/>
    <w:rsid w:val="00D15628"/>
    <w:rsid w:val="00D1676D"/>
    <w:rsid w:val="00D43C7E"/>
    <w:rsid w:val="00D75F53"/>
    <w:rsid w:val="00D92BBA"/>
    <w:rsid w:val="00D94558"/>
    <w:rsid w:val="00DA1955"/>
    <w:rsid w:val="00DA4885"/>
    <w:rsid w:val="00DA7ED3"/>
    <w:rsid w:val="00DB1B62"/>
    <w:rsid w:val="00DD6E0A"/>
    <w:rsid w:val="00E138D5"/>
    <w:rsid w:val="00E153C0"/>
    <w:rsid w:val="00E2114B"/>
    <w:rsid w:val="00E419DC"/>
    <w:rsid w:val="00E455EC"/>
    <w:rsid w:val="00E9051A"/>
    <w:rsid w:val="00EB0E87"/>
    <w:rsid w:val="00EB7956"/>
    <w:rsid w:val="00EF7CA6"/>
    <w:rsid w:val="00F408C4"/>
    <w:rsid w:val="00F45207"/>
    <w:rsid w:val="00F553F9"/>
    <w:rsid w:val="00F57DB5"/>
    <w:rsid w:val="00F76029"/>
    <w:rsid w:val="00FB0794"/>
    <w:rsid w:val="00FB1AB0"/>
    <w:rsid w:val="00FC1773"/>
    <w:rsid w:val="00FE2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pPr>
      <w:spacing w:after="120"/>
    </w:pPr>
  </w:style>
  <w:style w:type="character" w:customStyle="1" w:styleId="CorpodetextoChar">
    <w:name w:val="Corpo de texto Char"/>
    <w:basedOn w:val="Fontepargpadro"/>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Standard">
    <w:name w:val="Standard"/>
    <w:rsid w:val="00CF7C38"/>
    <w:pPr>
      <w:suppressAutoHyphens/>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pPr>
      <w:spacing w:after="120"/>
    </w:pPr>
  </w:style>
  <w:style w:type="character" w:customStyle="1" w:styleId="CorpodetextoChar">
    <w:name w:val="Corpo de texto Char"/>
    <w:basedOn w:val="Fontepargpadro"/>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Standard">
    <w:name w:val="Standard"/>
    <w:rsid w:val="00CF7C38"/>
    <w:pPr>
      <w:suppressAutoHyphens/>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2873">
      <w:bodyDiv w:val="1"/>
      <w:marLeft w:val="0"/>
      <w:marRight w:val="0"/>
      <w:marTop w:val="0"/>
      <w:marBottom w:val="0"/>
      <w:divBdr>
        <w:top w:val="none" w:sz="0" w:space="0" w:color="auto"/>
        <w:left w:val="none" w:sz="0" w:space="0" w:color="auto"/>
        <w:bottom w:val="none" w:sz="0" w:space="0" w:color="auto"/>
        <w:right w:val="none" w:sz="0" w:space="0" w:color="auto"/>
      </w:divBdr>
    </w:div>
    <w:div w:id="256132388">
      <w:bodyDiv w:val="1"/>
      <w:marLeft w:val="0"/>
      <w:marRight w:val="0"/>
      <w:marTop w:val="0"/>
      <w:marBottom w:val="0"/>
      <w:divBdr>
        <w:top w:val="none" w:sz="0" w:space="0" w:color="auto"/>
        <w:left w:val="none" w:sz="0" w:space="0" w:color="auto"/>
        <w:bottom w:val="none" w:sz="0" w:space="0" w:color="auto"/>
        <w:right w:val="none" w:sz="0" w:space="0" w:color="auto"/>
      </w:divBdr>
    </w:div>
    <w:div w:id="555816514">
      <w:bodyDiv w:val="1"/>
      <w:marLeft w:val="0"/>
      <w:marRight w:val="0"/>
      <w:marTop w:val="0"/>
      <w:marBottom w:val="0"/>
      <w:divBdr>
        <w:top w:val="none" w:sz="0" w:space="0" w:color="auto"/>
        <w:left w:val="none" w:sz="0" w:space="0" w:color="auto"/>
        <w:bottom w:val="none" w:sz="0" w:space="0" w:color="auto"/>
        <w:right w:val="none" w:sz="0" w:space="0" w:color="auto"/>
      </w:divBdr>
    </w:div>
    <w:div w:id="569730631">
      <w:bodyDiv w:val="1"/>
      <w:marLeft w:val="0"/>
      <w:marRight w:val="0"/>
      <w:marTop w:val="0"/>
      <w:marBottom w:val="0"/>
      <w:divBdr>
        <w:top w:val="none" w:sz="0" w:space="0" w:color="auto"/>
        <w:left w:val="none" w:sz="0" w:space="0" w:color="auto"/>
        <w:bottom w:val="none" w:sz="0" w:space="0" w:color="auto"/>
        <w:right w:val="none" w:sz="0" w:space="0" w:color="auto"/>
      </w:divBdr>
    </w:div>
    <w:div w:id="699597899">
      <w:bodyDiv w:val="1"/>
      <w:marLeft w:val="0"/>
      <w:marRight w:val="0"/>
      <w:marTop w:val="0"/>
      <w:marBottom w:val="0"/>
      <w:divBdr>
        <w:top w:val="none" w:sz="0" w:space="0" w:color="auto"/>
        <w:left w:val="none" w:sz="0" w:space="0" w:color="auto"/>
        <w:bottom w:val="none" w:sz="0" w:space="0" w:color="auto"/>
        <w:right w:val="none" w:sz="0" w:space="0" w:color="auto"/>
      </w:divBdr>
    </w:div>
    <w:div w:id="1028680549">
      <w:bodyDiv w:val="1"/>
      <w:marLeft w:val="0"/>
      <w:marRight w:val="0"/>
      <w:marTop w:val="0"/>
      <w:marBottom w:val="0"/>
      <w:divBdr>
        <w:top w:val="none" w:sz="0" w:space="0" w:color="auto"/>
        <w:left w:val="none" w:sz="0" w:space="0" w:color="auto"/>
        <w:bottom w:val="none" w:sz="0" w:space="0" w:color="auto"/>
        <w:right w:val="none" w:sz="0" w:space="0" w:color="auto"/>
      </w:divBdr>
    </w:div>
    <w:div w:id="1164322392">
      <w:bodyDiv w:val="1"/>
      <w:marLeft w:val="0"/>
      <w:marRight w:val="0"/>
      <w:marTop w:val="0"/>
      <w:marBottom w:val="0"/>
      <w:divBdr>
        <w:top w:val="none" w:sz="0" w:space="0" w:color="auto"/>
        <w:left w:val="none" w:sz="0" w:space="0" w:color="auto"/>
        <w:bottom w:val="none" w:sz="0" w:space="0" w:color="auto"/>
        <w:right w:val="none" w:sz="0" w:space="0" w:color="auto"/>
      </w:divBdr>
    </w:div>
    <w:div w:id="1207452185">
      <w:bodyDiv w:val="1"/>
      <w:marLeft w:val="0"/>
      <w:marRight w:val="0"/>
      <w:marTop w:val="0"/>
      <w:marBottom w:val="0"/>
      <w:divBdr>
        <w:top w:val="none" w:sz="0" w:space="0" w:color="auto"/>
        <w:left w:val="none" w:sz="0" w:space="0" w:color="auto"/>
        <w:bottom w:val="none" w:sz="0" w:space="0" w:color="auto"/>
        <w:right w:val="none" w:sz="0" w:space="0" w:color="auto"/>
      </w:divBdr>
    </w:div>
    <w:div w:id="1481656758">
      <w:bodyDiv w:val="1"/>
      <w:marLeft w:val="0"/>
      <w:marRight w:val="0"/>
      <w:marTop w:val="0"/>
      <w:marBottom w:val="0"/>
      <w:divBdr>
        <w:top w:val="none" w:sz="0" w:space="0" w:color="auto"/>
        <w:left w:val="none" w:sz="0" w:space="0" w:color="auto"/>
        <w:bottom w:val="none" w:sz="0" w:space="0" w:color="auto"/>
        <w:right w:val="none" w:sz="0" w:space="0" w:color="auto"/>
      </w:divBdr>
    </w:div>
    <w:div w:id="185391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Clientes%20P&#250;blicos\Prefeitura%20Municipal%20de%20Entre%20Folhas\Gabinete%20do%20Prefeito%20Municipal\Decretos\Decreto%20-%20Acesso%20a%20Informa&#231;&#227;o\PAPEL%20TIMBRA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Template>
  <TotalTime>121</TotalTime>
  <Pages>11</Pages>
  <Words>3892</Words>
  <Characters>21022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Processo no      /2009</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no      /2009</dc:title>
  <dc:subject/>
  <dc:creator>Ronaldo Guido Medeiros</dc:creator>
  <cp:lastModifiedBy>Usuário do Windows</cp:lastModifiedBy>
  <cp:revision>18</cp:revision>
  <cp:lastPrinted>2023-06-07T12:27:00Z</cp:lastPrinted>
  <dcterms:created xsi:type="dcterms:W3CDTF">2023-06-01T19:05:00Z</dcterms:created>
  <dcterms:modified xsi:type="dcterms:W3CDTF">2024-02-15T21:45:00Z</dcterms:modified>
</cp:coreProperties>
</file>